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b/>
          <w:bCs/>
          <w:kern w:val="0"/>
          <w:sz w:val="24"/>
          <w:lang w:val="en-US"/>
        </w:rPr>
      </w:pPr>
      <w:r>
        <w:rPr>
          <w:rFonts w:ascii="Arial" w:hAnsi="Arial" w:cs="Arial"/>
          <w:b/>
          <w:bCs/>
          <w:snapToGrid w:val="0"/>
          <w:kern w:val="0"/>
          <w:sz w:val="24"/>
        </w:rPr>
        <w:t>3GPP TSG-RAN WG2 Meeting#</w:t>
      </w:r>
      <w:r>
        <w:rPr>
          <w:rFonts w:ascii="Arial" w:hAnsi="Arial" w:cs="Arial"/>
          <w:b/>
          <w:bCs/>
          <w:snapToGrid w:val="0"/>
          <w:kern w:val="0"/>
          <w:sz w:val="24"/>
          <w:lang w:val="en-GB"/>
        </w:rPr>
        <w:t>10</w:t>
      </w:r>
      <w:r>
        <w:rPr>
          <w:rFonts w:hint="default" w:ascii="Arial" w:hAnsi="Arial" w:cs="Arial"/>
          <w:b/>
          <w:bCs/>
          <w:snapToGrid w:val="0"/>
          <w:kern w:val="0"/>
          <w:sz w:val="24"/>
          <w:lang w:val="en-US"/>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 xml:space="preserve"> </w:t>
      </w:r>
      <w:r>
        <w:rPr>
          <w:rFonts w:hint="eastAsia" w:ascii="Arial" w:hAnsi="Arial" w:cs="Arial"/>
          <w:b/>
          <w:bCs/>
          <w:snapToGrid w:val="0"/>
          <w:kern w:val="0"/>
          <w:sz w:val="24"/>
        </w:rPr>
        <w:t>R2-1910746</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ascii="Arial" w:hAnsi="Arial" w:eastAsia="MS Mincho" w:cs="Times New Roman"/>
          <w:b/>
          <w:sz w:val="24"/>
          <w:szCs w:val="24"/>
          <w:lang w:val="en-GB" w:eastAsia="zh-CN" w:bidi="ar-SA"/>
        </w:rPr>
        <w:t>Prague, Czech Republic,26th - 30th August 2019</w:t>
      </w:r>
    </w:p>
    <w:p>
      <w:pPr>
        <w:overflowPunct w:val="0"/>
        <w:autoSpaceDE w:val="0"/>
        <w:autoSpaceDN w:val="0"/>
        <w:adjustRightInd w:val="0"/>
        <w:snapToGrid w:val="0"/>
        <w:jc w:val="left"/>
        <w:textAlignment w:val="baseline"/>
        <w:rPr>
          <w:rFonts w:ascii="Arial" w:hAnsi="Arial" w:cs="Arial"/>
          <w:b/>
          <w:bCs/>
          <w:kern w:val="0"/>
          <w:sz w:val="28"/>
          <w:szCs w:val="28"/>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b/>
          <w:bCs/>
          <w:snapToGrid w:val="0"/>
          <w:kern w:val="0"/>
          <w:sz w:val="24"/>
          <w:lang w:val="en-US"/>
        </w:rPr>
      </w:pPr>
      <w:r>
        <w:rPr>
          <w:rFonts w:ascii="Arial" w:hAnsi="Arial" w:cs="Arial"/>
          <w:b/>
          <w:bCs/>
          <w:snapToGrid w:val="0"/>
          <w:kern w:val="0"/>
          <w:sz w:val="24"/>
        </w:rPr>
        <w:t xml:space="preserve">Title: </w:t>
      </w:r>
      <w:r>
        <w:rPr>
          <w:rFonts w:ascii="Arial" w:hAnsi="Arial" w:cs="Arial"/>
          <w:b/>
          <w:bCs/>
          <w:snapToGrid w:val="0"/>
          <w:kern w:val="0"/>
          <w:sz w:val="24"/>
        </w:rPr>
        <w:tab/>
      </w:r>
      <w:r>
        <w:rPr>
          <w:rFonts w:hint="default" w:ascii="Arial" w:hAnsi="Arial" w:cs="Arial"/>
          <w:b/>
          <w:bCs/>
          <w:snapToGrid w:val="0"/>
          <w:kern w:val="0"/>
          <w:sz w:val="24"/>
          <w:lang w:val="en-US"/>
        </w:rPr>
        <w:t>On Validity Area</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11.10.3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Introduction</w:t>
      </w:r>
    </w:p>
    <w:p>
      <w:pPr>
        <w:numPr>
          <w:ilvl w:val="0"/>
          <w:numId w:val="0"/>
        </w:numPr>
        <w:ind w:leftChars="0"/>
        <w:rPr>
          <w:rFonts w:hint="default" w:eastAsiaTheme="minorEastAsia"/>
          <w:szCs w:val="21"/>
          <w:lang w:val="en-US" w:eastAsia="zh-CN"/>
        </w:rPr>
      </w:pPr>
      <w:r>
        <w:rPr>
          <w:rFonts w:hint="eastAsia"/>
          <w:szCs w:val="21"/>
          <w:lang w:val="en-US" w:eastAsia="zh-CN"/>
        </w:rPr>
        <w:t>In email discussion 106#35, there are different views on whether validity area is needed for early measurement configuration. This contribution provides further consideration based on email discussion 106#35.</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Discussion</w:t>
      </w:r>
    </w:p>
    <w:p>
      <w:pPr>
        <w:numPr>
          <w:ilvl w:val="0"/>
          <w:numId w:val="0"/>
        </w:numPr>
        <w:ind w:leftChars="0"/>
        <w:rPr>
          <w:rFonts w:hint="default" w:ascii="Times New Roman" w:hAnsi="Times New Roman" w:eastAsia="宋体"/>
          <w:sz w:val="20"/>
          <w:szCs w:val="20"/>
          <w:lang w:val="en-US" w:eastAsia="zh-CN"/>
        </w:rPr>
      </w:pPr>
      <w:r>
        <w:rPr>
          <w:rFonts w:hint="eastAsia"/>
          <w:szCs w:val="21"/>
          <w:lang w:val="en-US" w:eastAsia="zh-CN"/>
        </w:rPr>
        <w:t>The</w:t>
      </w:r>
      <w:r>
        <w:rPr>
          <w:rFonts w:hint="default"/>
          <w:szCs w:val="21"/>
          <w:lang w:val="en-US"/>
        </w:rPr>
        <w:t xml:space="preserve"> main motivation to support validity area is to save UE power by avoiding unnecessary early measurement.</w:t>
      </w:r>
      <w:r>
        <w:rPr>
          <w:rFonts w:hint="eastAsia"/>
          <w:szCs w:val="21"/>
          <w:lang w:val="en-US" w:eastAsia="zh-CN"/>
        </w:rPr>
        <w:t xml:space="preserve"> </w:t>
      </w:r>
      <w:r>
        <w:rPr>
          <w:rFonts w:hint="eastAsia" w:eastAsia="宋体"/>
          <w:szCs w:val="21"/>
          <w:lang w:val="en-US" w:eastAsia="zh-CN"/>
        </w:rPr>
        <w:t>In 106#35, the so called</w:t>
      </w:r>
      <w:r>
        <w:rPr>
          <w:rFonts w:ascii="Times New Roman" w:hAnsi="Times New Roman" w:eastAsia="宋体"/>
          <w:sz w:val="20"/>
          <w:szCs w:val="20"/>
        </w:rPr>
        <w:t xml:space="preserve"> class </w:t>
      </w:r>
      <w:r>
        <w:rPr>
          <w:rFonts w:ascii="Times New Roman" w:hAnsi="Times New Roman" w:eastAsia="宋体"/>
          <w:b/>
          <w:sz w:val="20"/>
          <w:szCs w:val="20"/>
        </w:rPr>
        <w:t>A</w:t>
      </w:r>
      <w:r>
        <w:rPr>
          <w:rFonts w:ascii="Times New Roman" w:hAnsi="Times New Roman" w:eastAsia="宋体"/>
          <w:sz w:val="20"/>
          <w:szCs w:val="20"/>
        </w:rPr>
        <w:t xml:space="preserve"> deployment scenarios (described below) were identified as most basic target scenarios for validity area configuration.</w:t>
      </w:r>
      <w:r>
        <w:rPr>
          <w:rFonts w:hint="eastAsia" w:eastAsia="宋体"/>
          <w:sz w:val="20"/>
          <w:szCs w:val="20"/>
          <w:lang w:val="en-US" w:eastAsia="zh-CN"/>
        </w:rPr>
        <w:t>[1]</w:t>
      </w:r>
    </w:p>
    <w:p>
      <w:pPr>
        <w:numPr>
          <w:ilvl w:val="0"/>
          <w:numId w:val="0"/>
        </w:numPr>
        <w:ind w:leftChars="0"/>
        <w:jc w:val="center"/>
      </w:pPr>
      <w:r>
        <w:drawing>
          <wp:inline distT="0" distB="0" distL="114300" distR="114300">
            <wp:extent cx="5011420" cy="1320800"/>
            <wp:effectExtent l="0" t="0" r="1778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011420" cy="1320800"/>
                    </a:xfrm>
                    <a:prstGeom prst="rect">
                      <a:avLst/>
                    </a:prstGeom>
                    <a:noFill/>
                    <a:ln>
                      <a:noFill/>
                    </a:ln>
                  </pic:spPr>
                </pic:pic>
              </a:graphicData>
            </a:graphic>
          </wp:inline>
        </w:drawing>
      </w:r>
    </w:p>
    <w:p>
      <w:pPr>
        <w:pStyle w:val="24"/>
        <w:jc w:val="center"/>
        <w:rPr>
          <w:rFonts w:hint="default"/>
          <w:lang w:val="en-US"/>
        </w:rPr>
      </w:pPr>
      <w:r>
        <w:rPr>
          <w:rFonts w:eastAsia="DengXian"/>
          <w:b/>
          <w:lang w:eastAsia="zh-CN"/>
        </w:rPr>
        <w:t xml:space="preserve">Figure </w:t>
      </w:r>
      <w:r>
        <w:rPr>
          <w:rFonts w:eastAsia="DengXian"/>
          <w:b/>
          <w:lang w:eastAsia="zh-CN"/>
        </w:rPr>
        <w:fldChar w:fldCharType="begin"/>
      </w:r>
      <w:r>
        <w:rPr>
          <w:rFonts w:eastAsia="DengXian"/>
          <w:b/>
          <w:lang w:eastAsia="zh-CN"/>
        </w:rPr>
        <w:instrText xml:space="preserve"> SEQ Figure \* ARABIC </w:instrText>
      </w:r>
      <w:r>
        <w:rPr>
          <w:rFonts w:eastAsia="DengXian"/>
          <w:b/>
          <w:lang w:eastAsia="zh-CN"/>
        </w:rPr>
        <w:fldChar w:fldCharType="separate"/>
      </w:r>
      <w:r>
        <w:rPr>
          <w:rFonts w:eastAsia="DengXian"/>
          <w:b/>
          <w:lang w:eastAsia="zh-CN"/>
        </w:rPr>
        <w:t>1</w:t>
      </w:r>
      <w:r>
        <w:rPr>
          <w:rFonts w:eastAsia="DengXian"/>
          <w:b/>
          <w:lang w:eastAsia="zh-CN"/>
        </w:rPr>
        <w:fldChar w:fldCharType="end"/>
      </w:r>
      <w:r>
        <w:rPr>
          <w:rFonts w:eastAsia="DengXian"/>
          <w:b/>
          <w:lang w:eastAsia="zh-CN"/>
        </w:rPr>
        <w:t>:</w:t>
      </w:r>
      <w:r>
        <w:rPr>
          <w:rFonts w:hint="eastAsia" w:eastAsia="DengXian"/>
          <w:b/>
          <w:lang w:eastAsia="zh-CN"/>
        </w:rPr>
        <w:t xml:space="preserve"> </w:t>
      </w:r>
      <w:r>
        <w:rPr>
          <w:rFonts w:eastAsia="DengXian"/>
          <w:b/>
          <w:lang w:eastAsia="zh-CN"/>
        </w:rPr>
        <w:t xml:space="preserve">Class A </w:t>
      </w:r>
      <w:r>
        <w:rPr>
          <w:rFonts w:hint="eastAsia" w:eastAsia="DengXian"/>
          <w:b/>
          <w:lang w:eastAsia="zh-CN"/>
        </w:rPr>
        <w:t>Scenario</w:t>
      </w:r>
      <w:r>
        <w:rPr>
          <w:rFonts w:eastAsia="DengXian"/>
          <w:b/>
          <w:lang w:eastAsia="zh-CN"/>
        </w:rPr>
        <w:t>s [1]</w:t>
      </w:r>
    </w:p>
    <w:p>
      <w:pPr>
        <w:numPr>
          <w:ilvl w:val="0"/>
          <w:numId w:val="0"/>
        </w:numPr>
        <w:ind w:leftChars="0"/>
        <w:rPr>
          <w:rFonts w:hint="eastAsia"/>
          <w:szCs w:val="21"/>
          <w:lang w:val="en-US" w:eastAsia="zh-CN"/>
        </w:rPr>
      </w:pPr>
      <w:r>
        <w:rPr>
          <w:rFonts w:hint="eastAsia"/>
          <w:szCs w:val="21"/>
          <w:lang w:val="en-US" w:eastAsia="zh-CN"/>
        </w:rPr>
        <w:t>The potential NR deployment scenarios for validity area configuration are formulated as following[1]:</w:t>
      </w:r>
    </w:p>
    <w:p>
      <w:pPr>
        <w:pStyle w:val="283"/>
        <w:numPr>
          <w:ilvl w:val="0"/>
          <w:numId w:val="4"/>
        </w:numPr>
        <w:spacing w:after="180" w:line="240" w:lineRule="auto"/>
        <w:jc w:val="both"/>
        <w:rPr>
          <w:b/>
          <w:sz w:val="20"/>
          <w:lang w:eastAsia="zh-CN"/>
        </w:rPr>
      </w:pPr>
      <w:r>
        <w:rPr>
          <w:rFonts w:hint="eastAsia"/>
          <w:b/>
          <w:sz w:val="20"/>
          <w:lang w:eastAsia="zh-CN"/>
        </w:rPr>
        <w:t>Scenario A</w:t>
      </w:r>
      <w:r>
        <w:rPr>
          <w:b/>
          <w:sz w:val="20"/>
          <w:lang w:eastAsia="zh-CN"/>
        </w:rPr>
        <w:t>1’</w:t>
      </w:r>
      <w:r>
        <w:rPr>
          <w:rFonts w:hint="eastAsia"/>
          <w:b/>
          <w:sz w:val="20"/>
          <w:lang w:eastAsia="zh-CN"/>
        </w:rPr>
        <w:t xml:space="preserve">: the source </w:t>
      </w:r>
      <w:r>
        <w:rPr>
          <w:b/>
          <w:sz w:val="20"/>
          <w:lang w:eastAsia="zh-CN"/>
        </w:rPr>
        <w:t>g</w:t>
      </w:r>
      <w:r>
        <w:rPr>
          <w:rFonts w:hint="eastAsia"/>
          <w:b/>
          <w:sz w:val="20"/>
          <w:lang w:eastAsia="zh-CN"/>
        </w:rPr>
        <w:t xml:space="preserve">NB is deployed in hotspot, while some of its neighbors are not. Hence the neighbors may only work on one frequency. </w:t>
      </w:r>
    </w:p>
    <w:p>
      <w:pPr>
        <w:pStyle w:val="283"/>
        <w:numPr>
          <w:ilvl w:val="0"/>
          <w:numId w:val="4"/>
        </w:numPr>
        <w:spacing w:after="180" w:line="240" w:lineRule="auto"/>
        <w:jc w:val="both"/>
        <w:rPr>
          <w:b/>
          <w:sz w:val="20"/>
          <w:lang w:eastAsia="zh-CN"/>
        </w:rPr>
      </w:pPr>
      <w:r>
        <w:rPr>
          <w:rFonts w:hint="eastAsia"/>
          <w:b/>
          <w:sz w:val="20"/>
          <w:lang w:eastAsia="zh-CN"/>
        </w:rPr>
        <w:t xml:space="preserve">Scenario </w:t>
      </w:r>
      <w:r>
        <w:rPr>
          <w:b/>
          <w:sz w:val="20"/>
          <w:lang w:eastAsia="zh-CN"/>
        </w:rPr>
        <w:t>A2’</w:t>
      </w:r>
      <w:r>
        <w:rPr>
          <w:rFonts w:hint="eastAsia"/>
          <w:b/>
          <w:sz w:val="20"/>
          <w:lang w:eastAsia="zh-CN"/>
        </w:rPr>
        <w:t xml:space="preserve">: the source </w:t>
      </w:r>
      <w:r>
        <w:rPr>
          <w:b/>
          <w:sz w:val="20"/>
          <w:lang w:eastAsia="zh-CN"/>
        </w:rPr>
        <w:t>g</w:t>
      </w:r>
      <w:r>
        <w:rPr>
          <w:rFonts w:hint="eastAsia"/>
          <w:b/>
          <w:sz w:val="20"/>
          <w:lang w:eastAsia="zh-CN"/>
        </w:rPr>
        <w:t>NB is deployed by operator, while some of its neighbors are cells of private networks</w:t>
      </w:r>
      <w:r>
        <w:rPr>
          <w:b/>
          <w:sz w:val="20"/>
          <w:lang w:eastAsia="zh-CN"/>
        </w:rPr>
        <w:t xml:space="preserve"> (</w:t>
      </w:r>
      <w:r>
        <w:rPr>
          <w:rFonts w:hint="eastAsia"/>
          <w:b/>
          <w:sz w:val="20"/>
          <w:lang w:eastAsia="zh-CN"/>
        </w:rPr>
        <w:t xml:space="preserve">e.g. </w:t>
      </w:r>
      <w:r>
        <w:rPr>
          <w:b/>
          <w:sz w:val="20"/>
          <w:lang w:eastAsia="zh-CN"/>
        </w:rPr>
        <w:t>NPN</w:t>
      </w:r>
      <w:r>
        <w:rPr>
          <w:rFonts w:hint="eastAsia"/>
          <w:b/>
          <w:sz w:val="20"/>
          <w:lang w:eastAsia="zh-CN"/>
        </w:rPr>
        <w:t xml:space="preserve">).  The source </w:t>
      </w:r>
      <w:r>
        <w:rPr>
          <w:b/>
          <w:sz w:val="20"/>
          <w:lang w:eastAsia="zh-CN"/>
        </w:rPr>
        <w:t>g</w:t>
      </w:r>
      <w:r>
        <w:rPr>
          <w:rFonts w:hint="eastAsia"/>
          <w:b/>
          <w:sz w:val="20"/>
          <w:lang w:eastAsia="zh-CN"/>
        </w:rPr>
        <w:t>NB does</w:t>
      </w:r>
      <w:r>
        <w:rPr>
          <w:b/>
          <w:sz w:val="20"/>
          <w:lang w:eastAsia="zh-CN"/>
        </w:rPr>
        <w:t xml:space="preserve"> </w:t>
      </w:r>
      <w:r>
        <w:rPr>
          <w:rFonts w:hint="eastAsia"/>
          <w:b/>
          <w:sz w:val="20"/>
          <w:lang w:eastAsia="zh-CN"/>
        </w:rPr>
        <w:t>n</w:t>
      </w:r>
      <w:r>
        <w:rPr>
          <w:b/>
          <w:sz w:val="20"/>
          <w:lang w:eastAsia="zh-CN"/>
        </w:rPr>
        <w:t>o</w:t>
      </w:r>
      <w:r>
        <w:rPr>
          <w:rFonts w:hint="eastAsia"/>
          <w:b/>
          <w:sz w:val="20"/>
          <w:lang w:eastAsia="zh-CN"/>
        </w:rPr>
        <w:t xml:space="preserve">t know the frequencies used by private networks. </w:t>
      </w:r>
    </w:p>
    <w:p>
      <w:pPr>
        <w:pStyle w:val="283"/>
        <w:numPr>
          <w:ilvl w:val="0"/>
          <w:numId w:val="4"/>
        </w:numPr>
        <w:spacing w:after="180" w:line="240" w:lineRule="auto"/>
        <w:jc w:val="both"/>
        <w:rPr>
          <w:rFonts w:hint="default" w:eastAsiaTheme="minorEastAsia"/>
          <w:szCs w:val="21"/>
          <w:lang w:val="en-US" w:eastAsia="zh-CN"/>
        </w:rPr>
      </w:pPr>
      <w:r>
        <w:rPr>
          <w:rFonts w:hint="eastAsia"/>
          <w:b/>
          <w:sz w:val="20"/>
          <w:lang w:eastAsia="zh-CN"/>
        </w:rPr>
        <w:t xml:space="preserve">Scenario </w:t>
      </w:r>
      <w:r>
        <w:rPr>
          <w:b/>
          <w:sz w:val="20"/>
          <w:lang w:eastAsia="zh-CN"/>
        </w:rPr>
        <w:t>A3’</w:t>
      </w:r>
      <w:r>
        <w:rPr>
          <w:rFonts w:hint="eastAsia"/>
          <w:b/>
          <w:sz w:val="20"/>
          <w:lang w:eastAsia="zh-CN"/>
        </w:rPr>
        <w:t xml:space="preserve">: While </w:t>
      </w:r>
      <w:r>
        <w:rPr>
          <w:b/>
          <w:sz w:val="20"/>
          <w:lang w:eastAsia="zh-CN"/>
        </w:rPr>
        <w:t>upgrading</w:t>
      </w:r>
      <w:r>
        <w:rPr>
          <w:rFonts w:hint="eastAsia"/>
          <w:b/>
          <w:sz w:val="20"/>
          <w:lang w:eastAsia="zh-CN"/>
        </w:rPr>
        <w:t xml:space="preserve"> the network, if the source </w:t>
      </w:r>
      <w:r>
        <w:rPr>
          <w:b/>
          <w:sz w:val="20"/>
          <w:lang w:eastAsia="zh-CN"/>
        </w:rPr>
        <w:t>g</w:t>
      </w:r>
      <w:r>
        <w:rPr>
          <w:rFonts w:hint="eastAsia"/>
          <w:b/>
          <w:sz w:val="20"/>
          <w:lang w:eastAsia="zh-CN"/>
        </w:rPr>
        <w:t>NB is upgrade</w:t>
      </w:r>
      <w:r>
        <w:rPr>
          <w:b/>
          <w:sz w:val="20"/>
          <w:lang w:eastAsia="zh-CN"/>
        </w:rPr>
        <w:t>d</w:t>
      </w:r>
      <w:r>
        <w:rPr>
          <w:rFonts w:hint="eastAsia"/>
          <w:b/>
          <w:sz w:val="20"/>
          <w:lang w:eastAsia="zh-CN"/>
        </w:rPr>
        <w:t xml:space="preserve"> </w:t>
      </w:r>
      <w:r>
        <w:rPr>
          <w:b/>
          <w:sz w:val="20"/>
          <w:lang w:eastAsia="zh-CN"/>
        </w:rPr>
        <w:t>earlier</w:t>
      </w:r>
      <w:r>
        <w:rPr>
          <w:rFonts w:hint="eastAsia"/>
          <w:b/>
          <w:sz w:val="20"/>
          <w:lang w:eastAsia="zh-CN"/>
        </w:rPr>
        <w:t xml:space="preserve"> than some of its </w:t>
      </w:r>
      <w:r>
        <w:rPr>
          <w:b/>
          <w:sz w:val="20"/>
          <w:lang w:eastAsia="zh-CN"/>
        </w:rPr>
        <w:t>neighbor</w:t>
      </w:r>
      <w:r>
        <w:rPr>
          <w:rFonts w:hint="eastAsia"/>
          <w:b/>
          <w:sz w:val="20"/>
          <w:lang w:eastAsia="zh-CN"/>
        </w:rPr>
        <w:t xml:space="preserve"> </w:t>
      </w:r>
      <w:r>
        <w:rPr>
          <w:b/>
          <w:sz w:val="20"/>
          <w:lang w:eastAsia="zh-CN"/>
        </w:rPr>
        <w:t>g</w:t>
      </w:r>
      <w:r>
        <w:rPr>
          <w:rFonts w:hint="eastAsia"/>
          <w:b/>
          <w:sz w:val="20"/>
          <w:lang w:eastAsia="zh-CN"/>
        </w:rPr>
        <w:t>NBs</w:t>
      </w:r>
      <w:r>
        <w:rPr>
          <w:b/>
          <w:sz w:val="20"/>
          <w:lang w:eastAsia="zh-CN"/>
        </w:rPr>
        <w:t>, the</w:t>
      </w:r>
      <w:r>
        <w:rPr>
          <w:rFonts w:hint="eastAsia"/>
          <w:b/>
          <w:sz w:val="20"/>
          <w:lang w:eastAsia="zh-CN"/>
        </w:rPr>
        <w:t xml:space="preserve"> source </w:t>
      </w:r>
      <w:r>
        <w:rPr>
          <w:b/>
          <w:sz w:val="20"/>
          <w:lang w:eastAsia="zh-CN"/>
        </w:rPr>
        <w:t>g</w:t>
      </w:r>
      <w:r>
        <w:rPr>
          <w:rFonts w:hint="eastAsia"/>
          <w:b/>
          <w:sz w:val="20"/>
          <w:lang w:eastAsia="zh-CN"/>
        </w:rPr>
        <w:t xml:space="preserve">NB may configure UEs to perform IDLE state </w:t>
      </w:r>
      <w:r>
        <w:rPr>
          <w:b/>
          <w:sz w:val="20"/>
          <w:lang w:eastAsia="zh-CN"/>
        </w:rPr>
        <w:t>measurement</w:t>
      </w:r>
      <w:r>
        <w:rPr>
          <w:rFonts w:hint="eastAsia"/>
          <w:b/>
          <w:sz w:val="20"/>
          <w:lang w:eastAsia="zh-CN"/>
        </w:rPr>
        <w:t xml:space="preserve"> on some frequencies which are supported by its </w:t>
      </w:r>
      <w:r>
        <w:rPr>
          <w:b/>
          <w:sz w:val="20"/>
          <w:lang w:eastAsia="zh-CN"/>
        </w:rPr>
        <w:t>neighbor</w:t>
      </w:r>
      <w:r>
        <w:rPr>
          <w:rFonts w:hint="eastAsia"/>
          <w:b/>
          <w:sz w:val="20"/>
          <w:lang w:eastAsia="zh-CN"/>
        </w:rPr>
        <w:t>s which have not been upgraded.</w:t>
      </w:r>
    </w:p>
    <w:p>
      <w:pPr>
        <w:pStyle w:val="283"/>
        <w:widowControl w:val="0"/>
        <w:numPr>
          <w:ilvl w:val="0"/>
          <w:numId w:val="0"/>
        </w:numPr>
        <w:spacing w:after="180" w:line="240" w:lineRule="auto"/>
        <w:contextualSpacing/>
        <w:jc w:val="both"/>
        <w:rPr>
          <w:rFonts w:hint="eastAsia"/>
          <w:szCs w:val="21"/>
          <w:lang w:val="en-US" w:eastAsia="zh-CN"/>
        </w:rPr>
      </w:pPr>
    </w:p>
    <w:p>
      <w:pPr>
        <w:pStyle w:val="283"/>
        <w:widowControl w:val="0"/>
        <w:numPr>
          <w:ilvl w:val="0"/>
          <w:numId w:val="0"/>
        </w:numPr>
        <w:spacing w:after="180" w:line="240" w:lineRule="auto"/>
        <w:contextualSpacing/>
        <w:jc w:val="both"/>
        <w:rPr>
          <w:rFonts w:hint="default"/>
          <w:szCs w:val="21"/>
          <w:lang w:val="en-US" w:eastAsia="zh-CN"/>
        </w:rPr>
      </w:pPr>
      <w:r>
        <w:rPr>
          <w:rFonts w:hint="eastAsia"/>
          <w:szCs w:val="21"/>
          <w:lang w:val="en-US" w:eastAsia="zh-CN"/>
        </w:rPr>
        <w:t>With regard to the example of figure</w:t>
      </w:r>
      <w:r>
        <w:rPr>
          <w:rFonts w:hint="default"/>
          <w:szCs w:val="21"/>
          <w:lang w:val="en-US" w:eastAsia="zh-CN"/>
        </w:rPr>
        <w:t xml:space="preserve"> 1</w:t>
      </w:r>
      <w:r>
        <w:rPr>
          <w:rFonts w:hint="eastAsia"/>
          <w:szCs w:val="21"/>
          <w:lang w:val="en-US" w:eastAsia="zh-CN"/>
        </w:rPr>
        <w:t>, some people think the network can configure the UE with F2 as candidate frequency to measure, and configure the validity area with only source cell and neighbor cell 3. Thus the UE will not try to measure F2 when it camps on neighbor cell 1.</w:t>
      </w:r>
    </w:p>
    <w:p>
      <w:pPr>
        <w:pStyle w:val="283"/>
        <w:widowControl w:val="0"/>
        <w:numPr>
          <w:ilvl w:val="0"/>
          <w:numId w:val="0"/>
        </w:numPr>
        <w:spacing w:after="180" w:line="240" w:lineRule="auto"/>
        <w:contextualSpacing/>
        <w:jc w:val="both"/>
        <w:rPr>
          <w:rFonts w:hint="default"/>
          <w:szCs w:val="21"/>
          <w:lang w:val="en-US" w:eastAsia="zh-CN"/>
        </w:rPr>
      </w:pPr>
      <w:r>
        <w:rPr>
          <w:rFonts w:hint="eastAsia"/>
          <w:szCs w:val="21"/>
          <w:lang w:val="en-US" w:eastAsia="zh-CN"/>
        </w:rPr>
        <w:t xml:space="preserve">Per our understanding, it is still unclear and confusing on how to configure validity area in more complex scenarios. </w:t>
      </w:r>
      <w:r>
        <w:rPr>
          <w:rFonts w:hint="default"/>
          <w:szCs w:val="21"/>
          <w:lang w:val="en-US" w:eastAsia="zh-CN"/>
        </w:rPr>
        <w:t>I</w:t>
      </w:r>
      <w:r>
        <w:rPr>
          <w:rFonts w:hint="eastAsia"/>
          <w:szCs w:val="21"/>
          <w:lang w:val="en-US" w:eastAsia="zh-CN"/>
        </w:rPr>
        <w:t xml:space="preserve">n the example as figure 1, the network may want to configure both F2 and F3 as candidate frequency but not only F2. According to current LTE euCA specification, the network has to include source cell, cell 1 and cell 3 </w:t>
      </w:r>
      <w:r>
        <w:rPr>
          <w:rFonts w:hint="default"/>
          <w:szCs w:val="21"/>
          <w:lang w:val="en-US" w:eastAsia="zh-CN"/>
        </w:rPr>
        <w:t xml:space="preserve">as </w:t>
      </w:r>
      <w:r>
        <w:rPr>
          <w:rFonts w:hint="eastAsia"/>
          <w:szCs w:val="21"/>
          <w:lang w:val="en-US" w:eastAsia="zh-CN"/>
        </w:rPr>
        <w:t>the validity area. The problem is when UE camps on cell 1, it will search F2 for early measurement which it will never detect. And while it camps on source cell and cell3, it will search for F3 which it also cannot detect.</w:t>
      </w:r>
      <w:r>
        <w:rPr>
          <w:rFonts w:hint="default"/>
          <w:szCs w:val="21"/>
          <w:lang w:val="en-US" w:eastAsia="zh-CN"/>
        </w:rPr>
        <w:t xml:space="preserve"> In other words, in a more complicated scenario, unnecessary measurement are not avoided by current validity area solution.</w:t>
      </w:r>
    </w:p>
    <w:p>
      <w:pPr>
        <w:pStyle w:val="283"/>
        <w:widowControl w:val="0"/>
        <w:numPr>
          <w:ilvl w:val="0"/>
          <w:numId w:val="0"/>
        </w:numPr>
        <w:spacing w:after="180" w:line="240" w:lineRule="auto"/>
        <w:contextualSpacing/>
        <w:jc w:val="both"/>
        <w:rPr>
          <w:rFonts w:hint="eastAsia"/>
          <w:szCs w:val="21"/>
          <w:lang w:val="en-US" w:eastAsia="zh-CN"/>
        </w:rPr>
      </w:pPr>
      <w:r>
        <w:rPr>
          <w:rFonts w:hint="eastAsia"/>
          <w:szCs w:val="21"/>
          <w:lang w:val="en-US" w:eastAsia="zh-CN"/>
        </w:rPr>
        <w:t>To resolve this problem, one solution is to configure validity area for each candidate frequency</w:t>
      </w:r>
      <w:r>
        <w:rPr>
          <w:rFonts w:hint="default"/>
          <w:szCs w:val="21"/>
          <w:lang w:val="en-US" w:eastAsia="zh-CN"/>
        </w:rPr>
        <w:t>. In the example of figure 1, t</w:t>
      </w:r>
      <w:r>
        <w:rPr>
          <w:rFonts w:hint="eastAsia"/>
          <w:szCs w:val="21"/>
          <w:lang w:val="en-US" w:eastAsia="zh-CN"/>
        </w:rPr>
        <w:t>he validity area for F2 will include cell 3</w:t>
      </w:r>
      <w:r>
        <w:rPr>
          <w:rFonts w:hint="default"/>
          <w:szCs w:val="21"/>
          <w:lang w:val="en-US" w:eastAsia="zh-CN"/>
        </w:rPr>
        <w:t xml:space="preserve"> and</w:t>
      </w:r>
      <w:r>
        <w:rPr>
          <w:rFonts w:hint="eastAsia"/>
          <w:szCs w:val="21"/>
          <w:lang w:val="en-US" w:eastAsia="zh-CN"/>
        </w:rPr>
        <w:t xml:space="preserve"> source cell. The validity area for F3 will include cell 1.</w:t>
      </w:r>
      <w:r>
        <w:rPr>
          <w:rFonts w:hint="default"/>
          <w:szCs w:val="21"/>
          <w:lang w:val="en-US" w:eastAsia="zh-CN"/>
        </w:rPr>
        <w:t xml:space="preserve"> By this improvement, unnecessary measurement can be avoided.However, this improvement</w:t>
      </w:r>
      <w:r>
        <w:rPr>
          <w:rFonts w:hint="eastAsia"/>
          <w:szCs w:val="21"/>
          <w:lang w:val="en-US" w:eastAsia="zh-CN"/>
        </w:rPr>
        <w:t xml:space="preserve"> will brings significant signaling overhead increasing in real deployments.</w:t>
      </w:r>
    </w:p>
    <w:p>
      <w:pPr>
        <w:pStyle w:val="283"/>
        <w:widowControl w:val="0"/>
        <w:numPr>
          <w:ilvl w:val="0"/>
          <w:numId w:val="0"/>
        </w:numPr>
        <w:spacing w:after="180" w:line="240" w:lineRule="auto"/>
        <w:contextualSpacing/>
        <w:jc w:val="both"/>
        <w:rPr>
          <w:rFonts w:hint="default"/>
          <w:szCs w:val="21"/>
          <w:lang w:val="en-US" w:eastAsia="zh-CN"/>
        </w:rPr>
      </w:pPr>
      <w:r>
        <w:rPr>
          <w:rFonts w:hint="default"/>
          <w:szCs w:val="21"/>
          <w:lang w:val="en-US" w:eastAsia="zh-CN"/>
        </w:rPr>
        <w:t xml:space="preserve">However, in LTE euCA specification, only one single validity area can be configured. Following are the structure of </w:t>
      </w:r>
      <w:r>
        <w:rPr>
          <w:rFonts w:hint="default"/>
          <w:i/>
          <w:iCs/>
          <w:szCs w:val="21"/>
          <w:lang w:val="en-US" w:eastAsia="zh-CN"/>
        </w:rPr>
        <w:t xml:space="preserve">MeasIdleConfig </w:t>
      </w:r>
      <w:r>
        <w:rPr>
          <w:rFonts w:hint="default"/>
          <w:szCs w:val="21"/>
          <w:lang w:val="en-US" w:eastAsia="zh-CN"/>
        </w:rPr>
        <w:t>in LTE euCA.</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bCs/>
          <w:i/>
          <w:iCs/>
          <w:lang w:val="en-GB" w:eastAsia="zh-CN" w:bidi="ar-SA"/>
        </w:rPr>
        <w:t xml:space="preserve">MeasIdleConfig </w:t>
      </w:r>
      <w:r>
        <w:rPr>
          <w:rFonts w:ascii="Arial" w:hAnsi="Arial" w:eastAsia="Times New Roman" w:cs="Times New Roman"/>
          <w:b/>
          <w:lang w:val="en-GB" w:eastAsia="zh-CN" w:bidi="ar-SA"/>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bookmarkStart w:id="2" w:name="_Hlk522735532"/>
      <w:r>
        <w:rPr>
          <w:rFonts w:ascii="Courier New" w:hAnsi="Courier New" w:eastAsia="Times New Roman" w:cs="Times New Roman"/>
          <w:sz w:val="16"/>
          <w:lang w:val="en-GB" w:eastAsia="ja-JP" w:bidi="ar-SA"/>
        </w:rPr>
        <w:t>MeasIdleConfigSIB-r15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measIdleCarrierListEUTRA-r15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EUTRA-CarrierList-r15,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MeasIdleConfigDedicated-r15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measIdleCarrierListEUTRA-r15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EUTRA-CarrierList-r15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measIdleDuration-r15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{sec10, sec30, sec60, sec120,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sec180, sec240, sec300, spare},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EUTRA-CarrierList-r15 ::= SEQUENCE (SIZE (1..maxFreqIdle-r15)) OF MeasIdleCarrierEUTRA-r15</w:t>
      </w:r>
    </w:p>
    <w:bookmarkEnd w:id="2"/>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b/>
          <w:bCs/>
          <w:sz w:val="16"/>
          <w:highlight w:val="yellow"/>
          <w:lang w:val="en-GB" w:eastAsia="ja-JP" w:bidi="ar-SA"/>
        </w:rPr>
      </w:pPr>
      <w:bookmarkStart w:id="3" w:name="_Hlk522735614"/>
      <w:r>
        <w:rPr>
          <w:rFonts w:ascii="Courier New" w:hAnsi="Courier New" w:eastAsia="Times New Roman" w:cs="Times New Roman"/>
          <w:b/>
          <w:bCs/>
          <w:sz w:val="16"/>
          <w:highlight w:val="yellow"/>
          <w:lang w:val="en-GB" w:eastAsia="ja-JP" w:bidi="ar-SA"/>
        </w:rPr>
        <w:t>MeasIdleCarrierEUTRA-r15::=</w:t>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carrierFreq-r15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ARFCN-ValueEUTRA-r9,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allowedMeasBandwidth-r15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AllowedMeasBandwidth,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b/>
          <w:bCs/>
          <w:sz w:val="16"/>
          <w:highlight w:val="yellow"/>
          <w:lang w:val="en-GB" w:eastAsia="ja-JP" w:bidi="ar-SA"/>
        </w:rPr>
      </w:pP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validityArea-r15</w:t>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CellList-r15</w:t>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OPTIONAL,</w:t>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measCellList-r15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CellList-r15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reportQuantities</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ENUMERATED {rsrp, rsrq, both},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qualityThreshold-r15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idleRSRP-Threshold-r15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RSRP-Range</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idleRSRQ-Threshold-r15</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RSRQ-Range-r13</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OPTIONAL</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xml:space="preserve">OPTIONAL, </w:t>
      </w: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 Need 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ab/>
      </w:r>
      <w:r>
        <w:rPr>
          <w:rFonts w:ascii="Courier New" w:hAnsi="Courier New" w:eastAsia="Times New Roman" w:cs="Times New Roman"/>
          <w:sz w:val="16"/>
          <w:lang w:val="en-GB" w:eastAsia="ja-JP"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w:t>
      </w:r>
    </w:p>
    <w:bookmarkEnd w:id="3"/>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b/>
          <w:bCs/>
          <w:sz w:val="16"/>
          <w:highlight w:val="yellow"/>
          <w:lang w:val="en-GB" w:eastAsia="ja-JP" w:bidi="ar-SA"/>
        </w:rPr>
      </w:pPr>
      <w:r>
        <w:rPr>
          <w:rFonts w:ascii="Courier New" w:hAnsi="Courier New" w:eastAsia="Times New Roman" w:cs="Times New Roman"/>
          <w:b/>
          <w:bCs/>
          <w:sz w:val="16"/>
          <w:highlight w:val="yellow"/>
          <w:lang w:val="en-GB" w:eastAsia="ja-JP" w:bidi="ar-SA"/>
        </w:rPr>
        <w:t>CellList-r15 ::=</w:t>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ab/>
      </w:r>
      <w:r>
        <w:rPr>
          <w:rFonts w:ascii="Courier New" w:hAnsi="Courier New" w:eastAsia="Times New Roman" w:cs="Times New Roman"/>
          <w:b/>
          <w:bCs/>
          <w:sz w:val="16"/>
          <w:highlight w:val="yellow"/>
          <w:lang w:val="en-GB" w:eastAsia="ja-JP" w:bidi="ar-SA"/>
        </w:rPr>
        <w:t>SEQUENCE (SIZE (1.. maxCellMeasIdle-r15)) OF PhysCellIdRange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ja-JP" w:bidi="ar-SA"/>
        </w:rPr>
        <w:t>-- ASN1STOP</w:t>
      </w:r>
    </w:p>
    <w:p>
      <w:pPr>
        <w:pStyle w:val="283"/>
        <w:widowControl w:val="0"/>
        <w:numPr>
          <w:ilvl w:val="0"/>
          <w:numId w:val="0"/>
        </w:numPr>
        <w:spacing w:after="180" w:line="240" w:lineRule="auto"/>
        <w:contextualSpacing/>
        <w:jc w:val="both"/>
        <w:rPr>
          <w:rFonts w:hint="default"/>
          <w:szCs w:val="21"/>
          <w:lang w:val="en-US" w:eastAsia="zh-CN"/>
        </w:rPr>
      </w:pPr>
    </w:p>
    <w:p>
      <w:pPr>
        <w:pStyle w:val="283"/>
        <w:widowControl w:val="0"/>
        <w:numPr>
          <w:ilvl w:val="0"/>
          <w:numId w:val="0"/>
        </w:numPr>
        <w:spacing w:after="180" w:line="240" w:lineRule="auto"/>
        <w:contextualSpacing/>
        <w:jc w:val="both"/>
        <w:rPr>
          <w:rFonts w:hint="default"/>
          <w:szCs w:val="21"/>
          <w:lang w:val="en-US" w:eastAsia="zh-CN"/>
        </w:rPr>
      </w:pPr>
      <w:r>
        <w:rPr>
          <w:rFonts w:hint="default"/>
          <w:szCs w:val="21"/>
          <w:lang w:val="en-US" w:eastAsia="zh-CN"/>
        </w:rPr>
        <w:t xml:space="preserve">We understand the cell in the validity area is identified by a PCI in the IE </w:t>
      </w:r>
      <w:r>
        <w:rPr>
          <w:rFonts w:hint="default"/>
          <w:i/>
          <w:iCs/>
          <w:szCs w:val="21"/>
          <w:lang w:val="en-US" w:eastAsia="zh-CN"/>
        </w:rPr>
        <w:t xml:space="preserve">validityArea </w:t>
      </w:r>
      <w:r>
        <w:rPr>
          <w:rFonts w:hint="default"/>
          <w:szCs w:val="21"/>
          <w:lang w:val="en-US" w:eastAsia="zh-CN"/>
        </w:rPr>
        <w:t xml:space="preserve">and the corresponding carrier frequency. Note that the </w:t>
      </w:r>
      <w:r>
        <w:rPr>
          <w:rFonts w:hint="default"/>
          <w:i/>
          <w:iCs/>
          <w:szCs w:val="21"/>
          <w:lang w:val="en-GB" w:eastAsia="ja-JP"/>
        </w:rPr>
        <w:t>MeasIdleCarrierEUTRA</w:t>
      </w:r>
      <w:r>
        <w:rPr>
          <w:rFonts w:hint="default"/>
          <w:i/>
          <w:iCs/>
          <w:szCs w:val="21"/>
          <w:lang w:val="en-US" w:eastAsia="ja-JP"/>
        </w:rPr>
        <w:t xml:space="preserve"> </w:t>
      </w:r>
      <w:r>
        <w:rPr>
          <w:rFonts w:hint="default"/>
          <w:i w:val="0"/>
          <w:iCs w:val="0"/>
          <w:szCs w:val="21"/>
          <w:lang w:val="en-US" w:eastAsia="ja-JP"/>
        </w:rPr>
        <w:t xml:space="preserve">is used to configure </w:t>
      </w:r>
      <w:r>
        <w:rPr>
          <w:rFonts w:hint="default"/>
          <w:szCs w:val="21"/>
          <w:lang w:val="en-US" w:eastAsia="ja-JP"/>
        </w:rPr>
        <w:t xml:space="preserve">a frequency to measure. Thus the </w:t>
      </w:r>
      <w:r>
        <w:rPr>
          <w:rFonts w:hint="default"/>
          <w:i/>
          <w:iCs/>
          <w:szCs w:val="21"/>
          <w:lang w:val="en-US" w:eastAsia="zh-CN"/>
        </w:rPr>
        <w:t xml:space="preserve">validityArea </w:t>
      </w:r>
      <w:r>
        <w:rPr>
          <w:rFonts w:hint="default"/>
          <w:szCs w:val="21"/>
          <w:lang w:val="en-US" w:eastAsia="ja-JP"/>
        </w:rPr>
        <w:t xml:space="preserve">IE contained in </w:t>
      </w:r>
      <w:r>
        <w:rPr>
          <w:rFonts w:hint="default"/>
          <w:i/>
          <w:iCs/>
          <w:szCs w:val="21"/>
          <w:lang w:val="en-GB" w:eastAsia="ja-JP"/>
        </w:rPr>
        <w:t>MeasIdleCarrierEUTRA</w:t>
      </w:r>
      <w:r>
        <w:rPr>
          <w:rFonts w:hint="default"/>
          <w:i/>
          <w:iCs/>
          <w:szCs w:val="21"/>
          <w:lang w:val="en-US" w:eastAsia="ja-JP"/>
        </w:rPr>
        <w:t xml:space="preserve"> </w:t>
      </w:r>
      <w:r>
        <w:rPr>
          <w:rFonts w:hint="default"/>
          <w:szCs w:val="21"/>
          <w:lang w:val="en-US" w:eastAsia="ja-JP"/>
        </w:rPr>
        <w:t xml:space="preserve">is not the validity area only for this frequency. All </w:t>
      </w:r>
      <w:r>
        <w:rPr>
          <w:rFonts w:hint="default"/>
          <w:i/>
          <w:iCs/>
          <w:szCs w:val="21"/>
          <w:lang w:val="en-US" w:eastAsia="zh-CN"/>
        </w:rPr>
        <w:t xml:space="preserve">validityArea </w:t>
      </w:r>
      <w:r>
        <w:rPr>
          <w:rFonts w:hint="default"/>
          <w:szCs w:val="21"/>
          <w:lang w:val="en-US" w:eastAsia="zh-CN"/>
        </w:rPr>
        <w:t xml:space="preserve">contained in </w:t>
      </w:r>
      <w:r>
        <w:rPr>
          <w:rFonts w:hint="default"/>
          <w:i/>
          <w:iCs/>
          <w:szCs w:val="21"/>
          <w:lang w:val="en-GB" w:eastAsia="ja-JP"/>
        </w:rPr>
        <w:t>EUTRA-CarrierList</w:t>
      </w:r>
      <w:r>
        <w:rPr>
          <w:rFonts w:hint="default"/>
          <w:szCs w:val="21"/>
          <w:lang w:val="en-US" w:eastAsia="ja-JP"/>
        </w:rPr>
        <w:t xml:space="preserve"> forms a single validity area.</w:t>
      </w:r>
    </w:p>
    <w:p>
      <w:pPr>
        <w:numPr>
          <w:ilvl w:val="0"/>
          <w:numId w:val="5"/>
        </w:numPr>
        <w:ind w:left="1665" w:hanging="1665"/>
        <w:rPr>
          <w:rFonts w:hint="default"/>
          <w:b/>
          <w:bCs/>
          <w:sz w:val="22"/>
          <w:szCs w:val="22"/>
          <w:lang w:val="en-US" w:eastAsia="zh-CN"/>
        </w:rPr>
      </w:pPr>
      <w:r>
        <w:rPr>
          <w:rFonts w:hint="eastAsia"/>
          <w:b/>
          <w:bCs/>
          <w:sz w:val="22"/>
          <w:szCs w:val="22"/>
          <w:lang w:val="en-US" w:eastAsia="zh-CN"/>
        </w:rPr>
        <w:t xml:space="preserve">To </w:t>
      </w:r>
      <w:r>
        <w:rPr>
          <w:rFonts w:hint="default"/>
          <w:b/>
          <w:bCs/>
          <w:sz w:val="22"/>
          <w:szCs w:val="22"/>
          <w:lang w:val="en-US" w:eastAsia="zh-CN"/>
        </w:rPr>
        <w:t>avoid unnecessary measurement</w:t>
      </w:r>
      <w:r>
        <w:rPr>
          <w:rFonts w:hint="eastAsia"/>
          <w:b/>
          <w:bCs/>
          <w:sz w:val="22"/>
          <w:szCs w:val="22"/>
          <w:lang w:val="en-US" w:eastAsia="zh-CN"/>
        </w:rPr>
        <w:t>, validity area should be configure</w:t>
      </w:r>
      <w:r>
        <w:rPr>
          <w:rFonts w:hint="default"/>
          <w:b/>
          <w:bCs/>
          <w:sz w:val="22"/>
          <w:szCs w:val="22"/>
          <w:lang w:val="en-US" w:eastAsia="zh-CN"/>
        </w:rPr>
        <w:t>d</w:t>
      </w:r>
      <w:r>
        <w:rPr>
          <w:rFonts w:hint="eastAsia"/>
          <w:b/>
          <w:bCs/>
          <w:sz w:val="22"/>
          <w:szCs w:val="22"/>
          <w:lang w:val="en-US" w:eastAsia="zh-CN"/>
        </w:rPr>
        <w:t xml:space="preserve"> per candidate frequency</w:t>
      </w:r>
      <w:r>
        <w:rPr>
          <w:rFonts w:hint="default"/>
          <w:b/>
          <w:bCs/>
          <w:sz w:val="22"/>
          <w:szCs w:val="22"/>
          <w:lang w:val="en-US" w:eastAsia="zh-CN"/>
        </w:rPr>
        <w:t>,</w:t>
      </w:r>
      <w:r>
        <w:rPr>
          <w:rFonts w:hint="eastAsia"/>
          <w:b/>
          <w:bCs/>
          <w:sz w:val="22"/>
          <w:szCs w:val="22"/>
          <w:lang w:val="en-US" w:eastAsia="zh-CN"/>
        </w:rPr>
        <w:t xml:space="preserve"> which brings significant signaling overhead</w:t>
      </w:r>
      <w:r>
        <w:rPr>
          <w:rFonts w:hint="default"/>
          <w:b/>
          <w:bCs/>
          <w:sz w:val="22"/>
          <w:szCs w:val="22"/>
          <w:lang w:val="en-US" w:eastAsia="zh-CN"/>
        </w:rPr>
        <w:t xml:space="preserve"> increasing</w:t>
      </w:r>
      <w:r>
        <w:rPr>
          <w:rFonts w:hint="eastAsia"/>
          <w:b/>
          <w:bCs/>
          <w:sz w:val="22"/>
          <w:szCs w:val="22"/>
          <w:lang w:val="en-US" w:eastAsia="zh-CN"/>
        </w:rPr>
        <w:t>.</w:t>
      </w:r>
      <w:r>
        <w:rPr>
          <w:rFonts w:hint="default"/>
          <w:b/>
          <w:bCs/>
          <w:sz w:val="22"/>
          <w:szCs w:val="22"/>
          <w:lang w:val="en-US" w:eastAsia="zh-CN"/>
        </w:rPr>
        <w:t xml:space="preserve"> In R15 LTE euCA, only one single validity area can be configured.</w:t>
      </w:r>
      <w:bookmarkStart w:id="4" w:name="_GoBack"/>
      <w:bookmarkEnd w:id="4"/>
    </w:p>
    <w:p>
      <w:pPr>
        <w:pStyle w:val="283"/>
        <w:widowControl w:val="0"/>
        <w:numPr>
          <w:ilvl w:val="0"/>
          <w:numId w:val="0"/>
        </w:numPr>
        <w:spacing w:after="180" w:line="240" w:lineRule="auto"/>
        <w:contextualSpacing/>
        <w:jc w:val="both"/>
        <w:rPr>
          <w:rFonts w:hint="eastAsia"/>
          <w:b w:val="0"/>
          <w:bCs w:val="0"/>
          <w:szCs w:val="21"/>
          <w:lang w:val="en-US" w:eastAsia="zh-CN"/>
        </w:rPr>
      </w:pPr>
      <w:r>
        <w:rPr>
          <w:rFonts w:hint="eastAsia"/>
          <w:b w:val="0"/>
          <w:bCs w:val="0"/>
          <w:szCs w:val="21"/>
          <w:lang w:val="en-US" w:eastAsia="zh-CN"/>
        </w:rPr>
        <w:t>The second problem of validity area approach is the difficulty for network configuration as many companies pointed out in email discussion 106#35[1]. To configure properly the validity area, the source node needs deployment and coverage information of each candidate frequency and neighbor cells. It is not easy for network node to acquire such information in real deployment, especially when there are a lot of neighboring pico nodes</w:t>
      </w:r>
      <w:r>
        <w:rPr>
          <w:rFonts w:hint="default"/>
          <w:b w:val="0"/>
          <w:bCs w:val="0"/>
          <w:szCs w:val="21"/>
          <w:lang w:val="en-US" w:eastAsia="zh-CN"/>
        </w:rPr>
        <w:t xml:space="preserve"> and small cells</w:t>
      </w:r>
      <w:r>
        <w:rPr>
          <w:rFonts w:hint="eastAsia"/>
          <w:b w:val="0"/>
          <w:bCs w:val="0"/>
          <w:szCs w:val="21"/>
          <w:lang w:val="en-US" w:eastAsia="zh-CN"/>
        </w:rPr>
        <w:t>.</w:t>
      </w:r>
    </w:p>
    <w:p>
      <w:pPr>
        <w:pStyle w:val="283"/>
        <w:widowControl w:val="0"/>
        <w:numPr>
          <w:ilvl w:val="0"/>
          <w:numId w:val="0"/>
        </w:numPr>
        <w:spacing w:after="180" w:line="240" w:lineRule="auto"/>
        <w:contextualSpacing/>
        <w:jc w:val="both"/>
        <w:rPr>
          <w:rFonts w:hint="default"/>
          <w:b w:val="0"/>
          <w:bCs w:val="0"/>
          <w:szCs w:val="21"/>
          <w:lang w:val="en-US" w:eastAsia="zh-CN"/>
        </w:rPr>
      </w:pPr>
      <w:r>
        <w:rPr>
          <w:rFonts w:hint="eastAsia"/>
          <w:b w:val="0"/>
          <w:bCs w:val="0"/>
          <w:szCs w:val="21"/>
          <w:lang w:val="en-US" w:eastAsia="zh-CN"/>
        </w:rPr>
        <w:t>As a consequence, the network node may configure validity area only with</w:t>
      </w:r>
      <w:r>
        <w:rPr>
          <w:rFonts w:hint="default"/>
          <w:b w:val="0"/>
          <w:bCs w:val="0"/>
          <w:szCs w:val="21"/>
          <w:lang w:val="en-US" w:eastAsia="zh-CN"/>
        </w:rPr>
        <w:t xml:space="preserve"> cells of the same node as the source cell</w:t>
      </w:r>
      <w:r>
        <w:rPr>
          <w:rFonts w:hint="eastAsia"/>
          <w:b w:val="0"/>
          <w:bCs w:val="0"/>
          <w:szCs w:val="21"/>
          <w:lang w:val="en-US" w:eastAsia="zh-CN"/>
        </w:rPr>
        <w:t>. This will limit the application of early measurement</w:t>
      </w:r>
      <w:r>
        <w:rPr>
          <w:rFonts w:hint="default"/>
          <w:b w:val="0"/>
          <w:bCs w:val="0"/>
          <w:szCs w:val="21"/>
          <w:lang w:val="en-US" w:eastAsia="zh-CN"/>
        </w:rPr>
        <w:t xml:space="preserve"> dramatically</w:t>
      </w:r>
      <w:r>
        <w:rPr>
          <w:rFonts w:hint="eastAsia"/>
          <w:b w:val="0"/>
          <w:bCs w:val="0"/>
          <w:szCs w:val="21"/>
          <w:lang w:val="en-US" w:eastAsia="zh-CN"/>
        </w:rPr>
        <w:t xml:space="preserve">. </w:t>
      </w:r>
    </w:p>
    <w:p>
      <w:pPr>
        <w:numPr>
          <w:ilvl w:val="0"/>
          <w:numId w:val="5"/>
        </w:numPr>
        <w:ind w:left="1665" w:hanging="1665"/>
        <w:rPr>
          <w:rFonts w:hint="default"/>
          <w:b/>
          <w:bCs/>
          <w:sz w:val="22"/>
          <w:szCs w:val="22"/>
          <w:lang w:val="en-US" w:eastAsia="zh-CN"/>
        </w:rPr>
      </w:pPr>
      <w:r>
        <w:rPr>
          <w:rFonts w:hint="default"/>
          <w:b/>
          <w:bCs/>
          <w:sz w:val="22"/>
          <w:szCs w:val="22"/>
          <w:lang w:val="en-US" w:eastAsia="zh-CN"/>
        </w:rPr>
        <w:t xml:space="preserve">It is difficult for the network to configure validity area across network nodes due to the difficulty in acquiring </w:t>
      </w:r>
      <w:r>
        <w:rPr>
          <w:rFonts w:hint="eastAsia"/>
          <w:b/>
          <w:bCs/>
          <w:sz w:val="22"/>
          <w:szCs w:val="22"/>
          <w:lang w:val="en-US" w:eastAsia="zh-CN"/>
        </w:rPr>
        <w:t>full picture of neighboring network deployment</w:t>
      </w:r>
      <w:r>
        <w:rPr>
          <w:rFonts w:hint="default"/>
          <w:b/>
          <w:bCs/>
          <w:sz w:val="22"/>
          <w:szCs w:val="22"/>
          <w:lang w:val="en-US" w:eastAsia="zh-CN"/>
        </w:rPr>
        <w:t>. This</w:t>
      </w:r>
      <w:r>
        <w:rPr>
          <w:rFonts w:hint="eastAsia"/>
          <w:b/>
          <w:bCs/>
          <w:sz w:val="22"/>
          <w:szCs w:val="22"/>
          <w:lang w:val="en-US" w:eastAsia="zh-CN"/>
        </w:rPr>
        <w:t xml:space="preserve"> will limit the application of early measurement in real deployment.</w:t>
      </w:r>
    </w:p>
    <w:p>
      <w:pPr>
        <w:numPr>
          <w:ilvl w:val="255"/>
          <w:numId w:val="0"/>
        </w:numPr>
        <w:rPr>
          <w:rFonts w:hint="eastAsia"/>
          <w:szCs w:val="21"/>
          <w:lang w:val="en-US" w:eastAsia="zh-CN"/>
        </w:rPr>
      </w:pPr>
      <w:r>
        <w:rPr>
          <w:rFonts w:hint="eastAsia"/>
          <w:szCs w:val="21"/>
          <w:lang w:val="en-US" w:eastAsia="zh-CN"/>
        </w:rPr>
        <w:t>In the email discussion 106#35, an alternative solution</w:t>
      </w:r>
      <w:r>
        <w:rPr>
          <w:rFonts w:hint="default"/>
          <w:szCs w:val="21"/>
          <w:lang w:val="en-US" w:eastAsia="zh-CN"/>
        </w:rPr>
        <w:t xml:space="preserve"> was proposed</w:t>
      </w:r>
      <w:r>
        <w:rPr>
          <w:rFonts w:hint="eastAsia"/>
          <w:szCs w:val="21"/>
          <w:lang w:val="en-US" w:eastAsia="zh-CN"/>
        </w:rPr>
        <w:t xml:space="preserve">. In this solution, network provides a list of available frequency </w:t>
      </w:r>
      <w:r>
        <w:rPr>
          <w:rFonts w:hint="default"/>
          <w:szCs w:val="21"/>
          <w:lang w:val="en-US" w:eastAsia="zh-CN"/>
        </w:rPr>
        <w:t xml:space="preserve">for early measurement </w:t>
      </w:r>
      <w:r>
        <w:rPr>
          <w:rFonts w:hint="eastAsia"/>
          <w:szCs w:val="21"/>
          <w:lang w:val="en-US" w:eastAsia="zh-CN"/>
        </w:rPr>
        <w:t xml:space="preserve">via SIB. </w:t>
      </w:r>
      <w:r>
        <w:rPr>
          <w:rFonts w:hint="default"/>
          <w:szCs w:val="21"/>
          <w:lang w:val="en-US" w:eastAsia="zh-CN"/>
        </w:rPr>
        <w:t>The UE which is configured with early measurement will acquires this available frequency list when it camps on a new cell</w:t>
      </w:r>
      <w:r>
        <w:rPr>
          <w:rFonts w:hint="eastAsia"/>
          <w:szCs w:val="21"/>
          <w:lang w:val="en-US" w:eastAsia="zh-CN"/>
        </w:rPr>
        <w:t xml:space="preserve">. If a frequency configured </w:t>
      </w:r>
      <w:r>
        <w:rPr>
          <w:rFonts w:hint="default"/>
          <w:szCs w:val="21"/>
          <w:lang w:val="en-US" w:eastAsia="zh-CN"/>
        </w:rPr>
        <w:t>to the UE</w:t>
      </w:r>
      <w:r>
        <w:rPr>
          <w:rFonts w:hint="eastAsia"/>
          <w:szCs w:val="21"/>
          <w:lang w:val="en-US" w:eastAsia="zh-CN"/>
        </w:rPr>
        <w:t xml:space="preserve"> is not present in the available frequency list, the UE ignore</w:t>
      </w:r>
      <w:r>
        <w:rPr>
          <w:rFonts w:hint="default"/>
          <w:szCs w:val="21"/>
          <w:lang w:val="en-US" w:eastAsia="zh-CN"/>
        </w:rPr>
        <w:t>s</w:t>
      </w:r>
      <w:r>
        <w:rPr>
          <w:rFonts w:hint="eastAsia"/>
          <w:szCs w:val="21"/>
          <w:lang w:val="en-US" w:eastAsia="zh-CN"/>
        </w:rPr>
        <w:t xml:space="preserve"> this frequency.</w:t>
      </w:r>
    </w:p>
    <w:p>
      <w:pPr>
        <w:numPr>
          <w:ilvl w:val="255"/>
          <w:numId w:val="0"/>
        </w:numPr>
        <w:rPr>
          <w:rFonts w:hint="default"/>
          <w:szCs w:val="21"/>
          <w:lang w:val="en-US" w:eastAsia="zh-CN"/>
        </w:rPr>
      </w:pPr>
      <w:r>
        <w:rPr>
          <w:rFonts w:hint="eastAsia"/>
          <w:szCs w:val="21"/>
          <w:lang w:val="en-US" w:eastAsia="zh-CN"/>
        </w:rPr>
        <w:t xml:space="preserve">Take the scenario of figure 1 as example, the UE can be configured with F2 and F3 as candidate frequency to measure. In SIB of neighbor cell 1 and source cell, the available frequency list includes F2. In SIB of cell 3, the available frequency list includes only F3. </w:t>
      </w:r>
      <w:r>
        <w:rPr>
          <w:rFonts w:hint="default"/>
          <w:szCs w:val="21"/>
          <w:lang w:val="en-US" w:eastAsia="zh-CN"/>
        </w:rPr>
        <w:t>UE determine which frequency is to be measured based on the frequency configured to it and the available frequency list.</w:t>
      </w:r>
    </w:p>
    <w:p>
      <w:pPr>
        <w:numPr>
          <w:ilvl w:val="255"/>
          <w:numId w:val="0"/>
        </w:numPr>
        <w:rPr>
          <w:rFonts w:hint="default"/>
          <w:szCs w:val="21"/>
          <w:lang w:val="en-US" w:eastAsia="zh-CN"/>
        </w:rPr>
      </w:pPr>
      <w:r>
        <w:rPr>
          <w:rFonts w:hint="eastAsia"/>
          <w:szCs w:val="21"/>
          <w:lang w:val="en-US" w:eastAsia="zh-CN"/>
        </w:rPr>
        <w:t xml:space="preserve">Note that it is unnecessary to include full measurement configuration for </w:t>
      </w:r>
      <w:r>
        <w:rPr>
          <w:rFonts w:hint="default"/>
          <w:szCs w:val="21"/>
          <w:lang w:val="en-US" w:eastAsia="zh-CN"/>
        </w:rPr>
        <w:t>an a</w:t>
      </w:r>
      <w:r>
        <w:rPr>
          <w:rFonts w:hint="eastAsia"/>
          <w:szCs w:val="21"/>
          <w:lang w:val="en-US" w:eastAsia="zh-CN"/>
        </w:rPr>
        <w:t>vailable frequenc</w:t>
      </w:r>
      <w:r>
        <w:rPr>
          <w:rFonts w:hint="default"/>
          <w:szCs w:val="21"/>
          <w:lang w:val="en-US" w:eastAsia="zh-CN"/>
        </w:rPr>
        <w:t>y</w:t>
      </w:r>
      <w:r>
        <w:rPr>
          <w:rFonts w:hint="eastAsia"/>
          <w:szCs w:val="21"/>
          <w:lang w:val="en-US" w:eastAsia="zh-CN"/>
        </w:rPr>
        <w:t>, i.e. only frequency information is enough for UE to distinguish whether it is available. Thus the signaling overhead can be avoided if operate wants to configure early measurement only via RRC release message.</w:t>
      </w:r>
    </w:p>
    <w:p>
      <w:pPr>
        <w:numPr>
          <w:ilvl w:val="255"/>
          <w:numId w:val="0"/>
        </w:numPr>
        <w:rPr>
          <w:rFonts w:hint="eastAsia"/>
          <w:szCs w:val="21"/>
          <w:lang w:val="en-US" w:eastAsia="zh-CN"/>
        </w:rPr>
      </w:pPr>
      <w:r>
        <w:rPr>
          <w:rFonts w:hint="eastAsia"/>
          <w:szCs w:val="21"/>
          <w:lang w:val="en-US" w:eastAsia="zh-CN"/>
        </w:rPr>
        <w:t xml:space="preserve">Further, since each node only take cares of its local deployment, </w:t>
      </w:r>
      <w:r>
        <w:rPr>
          <w:rFonts w:hint="default"/>
          <w:szCs w:val="21"/>
          <w:lang w:val="en-US" w:eastAsia="zh-CN"/>
        </w:rPr>
        <w:t>this solution</w:t>
      </w:r>
      <w:r>
        <w:rPr>
          <w:rFonts w:hint="eastAsia"/>
          <w:szCs w:val="21"/>
          <w:lang w:val="en-US" w:eastAsia="zh-CN"/>
        </w:rPr>
        <w:t xml:space="preserve"> is much easier for the network implementation</w:t>
      </w:r>
      <w:r>
        <w:rPr>
          <w:rFonts w:hint="default"/>
          <w:szCs w:val="21"/>
          <w:lang w:val="en-US" w:eastAsia="zh-CN"/>
        </w:rPr>
        <w:t xml:space="preserve"> compared to validity area solution</w:t>
      </w:r>
      <w:r>
        <w:rPr>
          <w:rFonts w:hint="eastAsia"/>
          <w:szCs w:val="21"/>
          <w:lang w:val="en-US" w:eastAsia="zh-CN"/>
        </w:rPr>
        <w:t>.</w:t>
      </w:r>
    </w:p>
    <w:p>
      <w:pPr>
        <w:numPr>
          <w:ilvl w:val="0"/>
          <w:numId w:val="6"/>
        </w:numPr>
        <w:tabs>
          <w:tab w:val="clear" w:pos="420"/>
        </w:tabs>
        <w:ind w:left="1245" w:leftChars="0" w:hanging="1245" w:firstLineChars="0"/>
        <w:rPr>
          <w:rFonts w:hint="default"/>
          <w:b/>
          <w:bCs/>
          <w:sz w:val="22"/>
          <w:szCs w:val="22"/>
          <w:lang w:val="en-US" w:eastAsia="zh-CN"/>
        </w:rPr>
      </w:pPr>
      <w:r>
        <w:rPr>
          <w:rFonts w:hint="default"/>
          <w:b/>
          <w:bCs/>
          <w:sz w:val="22"/>
          <w:szCs w:val="22"/>
          <w:lang w:val="en-US" w:eastAsia="zh-CN"/>
        </w:rPr>
        <w:t>In stead of validity area solution, an available frequency list is indicated via SI. UE determines whether a candidate frequency configured to it is available for measurement according to the available frequency list indicated in I of its serving 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28"/>
        </w:rPr>
      </w:pPr>
      <w:r>
        <w:rPr>
          <w:rFonts w:ascii="Arial" w:hAnsi="Arial" w:cs="Arial"/>
          <w:kern w:val="0"/>
          <w:sz w:val="28"/>
          <w:szCs w:val="28"/>
        </w:rPr>
        <w:t>Conclusion</w:t>
      </w:r>
    </w:p>
    <w:p>
      <w:pPr>
        <w:numPr>
          <w:ilvl w:val="0"/>
          <w:numId w:val="7"/>
        </w:numPr>
        <w:ind w:left="1665" w:hanging="1665"/>
        <w:rPr>
          <w:rFonts w:hint="default"/>
          <w:b/>
          <w:bCs/>
          <w:sz w:val="22"/>
          <w:szCs w:val="22"/>
          <w:lang w:val="en-US" w:eastAsia="zh-CN"/>
        </w:rPr>
      </w:pPr>
      <w:r>
        <w:rPr>
          <w:rFonts w:hint="eastAsia"/>
          <w:b/>
          <w:bCs/>
          <w:sz w:val="22"/>
          <w:szCs w:val="22"/>
          <w:lang w:val="en-US" w:eastAsia="zh-CN"/>
        </w:rPr>
        <w:t xml:space="preserve">To </w:t>
      </w:r>
      <w:r>
        <w:rPr>
          <w:rFonts w:hint="default"/>
          <w:b/>
          <w:bCs/>
          <w:sz w:val="22"/>
          <w:szCs w:val="22"/>
          <w:lang w:val="en-US" w:eastAsia="zh-CN"/>
        </w:rPr>
        <w:t>avoid unnecessary measurement</w:t>
      </w:r>
      <w:r>
        <w:rPr>
          <w:rFonts w:hint="eastAsia"/>
          <w:b/>
          <w:bCs/>
          <w:sz w:val="22"/>
          <w:szCs w:val="22"/>
          <w:lang w:val="en-US" w:eastAsia="zh-CN"/>
        </w:rPr>
        <w:t>, validity area should be configure per candidate frequency</w:t>
      </w:r>
      <w:r>
        <w:rPr>
          <w:rFonts w:hint="default"/>
          <w:b/>
          <w:bCs/>
          <w:sz w:val="22"/>
          <w:szCs w:val="22"/>
          <w:lang w:val="en-US" w:eastAsia="zh-CN"/>
        </w:rPr>
        <w:t>,</w:t>
      </w:r>
      <w:r>
        <w:rPr>
          <w:rFonts w:hint="eastAsia"/>
          <w:b/>
          <w:bCs/>
          <w:sz w:val="22"/>
          <w:szCs w:val="22"/>
          <w:lang w:val="en-US" w:eastAsia="zh-CN"/>
        </w:rPr>
        <w:t xml:space="preserve"> which brings significant signaling overhead</w:t>
      </w:r>
      <w:r>
        <w:rPr>
          <w:rFonts w:hint="default"/>
          <w:b/>
          <w:bCs/>
          <w:sz w:val="22"/>
          <w:szCs w:val="22"/>
          <w:lang w:val="en-US" w:eastAsia="zh-CN"/>
        </w:rPr>
        <w:t xml:space="preserve"> increasing</w:t>
      </w:r>
      <w:r>
        <w:rPr>
          <w:rFonts w:hint="eastAsia"/>
          <w:b/>
          <w:bCs/>
          <w:sz w:val="22"/>
          <w:szCs w:val="22"/>
          <w:lang w:val="en-US" w:eastAsia="zh-CN"/>
        </w:rPr>
        <w:t>.</w:t>
      </w:r>
      <w:r>
        <w:rPr>
          <w:rFonts w:hint="default"/>
          <w:b/>
          <w:bCs/>
          <w:sz w:val="22"/>
          <w:szCs w:val="22"/>
          <w:lang w:val="en-US" w:eastAsia="zh-CN"/>
        </w:rPr>
        <w:t xml:space="preserve"> In R15 LTE euCA, only one single validity area can be configured</w:t>
      </w:r>
      <w:r>
        <w:rPr>
          <w:rFonts w:hint="eastAsia"/>
          <w:b/>
          <w:bCs/>
          <w:sz w:val="22"/>
          <w:szCs w:val="22"/>
          <w:lang w:val="en-US" w:eastAsia="zh-CN"/>
        </w:rPr>
        <w:t>.</w:t>
      </w:r>
    </w:p>
    <w:p>
      <w:pPr>
        <w:numPr>
          <w:ilvl w:val="0"/>
          <w:numId w:val="7"/>
        </w:numPr>
        <w:ind w:left="1665" w:hanging="1665"/>
        <w:rPr>
          <w:rFonts w:hint="default"/>
          <w:b/>
          <w:bCs/>
          <w:sz w:val="22"/>
          <w:szCs w:val="22"/>
          <w:lang w:val="en-US" w:eastAsia="zh-CN"/>
        </w:rPr>
      </w:pPr>
      <w:r>
        <w:rPr>
          <w:rFonts w:hint="default"/>
          <w:b/>
          <w:bCs/>
          <w:sz w:val="22"/>
          <w:szCs w:val="22"/>
          <w:lang w:val="en-US" w:eastAsia="zh-CN"/>
        </w:rPr>
        <w:t xml:space="preserve">It is difficult for the network to configure validity area across network nodes due to the difficulty in acquiring </w:t>
      </w:r>
      <w:r>
        <w:rPr>
          <w:rFonts w:hint="eastAsia"/>
          <w:b/>
          <w:bCs/>
          <w:sz w:val="22"/>
          <w:szCs w:val="22"/>
          <w:lang w:val="en-US" w:eastAsia="zh-CN"/>
        </w:rPr>
        <w:t>full picture of neighboring network deployment</w:t>
      </w:r>
      <w:r>
        <w:rPr>
          <w:rFonts w:hint="default"/>
          <w:b/>
          <w:bCs/>
          <w:sz w:val="22"/>
          <w:szCs w:val="22"/>
          <w:lang w:val="en-US" w:eastAsia="zh-CN"/>
        </w:rPr>
        <w:t>. This</w:t>
      </w:r>
      <w:r>
        <w:rPr>
          <w:rFonts w:hint="eastAsia"/>
          <w:b/>
          <w:bCs/>
          <w:sz w:val="22"/>
          <w:szCs w:val="22"/>
          <w:lang w:val="en-US" w:eastAsia="zh-CN"/>
        </w:rPr>
        <w:t xml:space="preserve"> will limit the application of early measurement in real deployment.</w:t>
      </w:r>
    </w:p>
    <w:p>
      <w:pPr>
        <w:numPr>
          <w:ilvl w:val="0"/>
          <w:numId w:val="8"/>
        </w:numPr>
        <w:tabs>
          <w:tab w:val="clear" w:pos="420"/>
        </w:tabs>
        <w:ind w:left="1245" w:leftChars="0" w:hanging="1245" w:firstLineChars="0"/>
        <w:rPr>
          <w:rFonts w:hint="default"/>
          <w:b/>
          <w:bCs/>
          <w:sz w:val="22"/>
          <w:szCs w:val="22"/>
          <w:lang w:val="en-US" w:eastAsia="zh-CN"/>
        </w:rPr>
      </w:pPr>
      <w:r>
        <w:rPr>
          <w:rFonts w:hint="default"/>
          <w:b/>
          <w:bCs/>
          <w:sz w:val="22"/>
          <w:szCs w:val="22"/>
          <w:lang w:val="en-US" w:eastAsia="zh-CN"/>
        </w:rPr>
        <w:t>In stead of validity area solution, an available frequency list is indicated via SI. UE determines whether a candidate frequency configured to it is available for measurement according to the available frequency list indicated in SI of its serving cell.</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kern w:val="0"/>
          <w:sz w:val="28"/>
          <w:szCs w:val="32"/>
        </w:rPr>
      </w:pPr>
      <w:r>
        <w:rPr>
          <w:rFonts w:ascii="Arial" w:hAnsi="Arial" w:cs="Arial"/>
          <w:kern w:val="0"/>
          <w:sz w:val="28"/>
          <w:szCs w:val="32"/>
        </w:rPr>
        <w:t>References</w:t>
      </w:r>
    </w:p>
    <w:p>
      <w:pPr>
        <w:pStyle w:val="69"/>
        <w:numPr>
          <w:ilvl w:val="0"/>
          <w:numId w:val="9"/>
        </w:numPr>
        <w:ind w:firstLineChars="0"/>
      </w:pPr>
      <w:r>
        <w:rPr>
          <w:rFonts w:hint="default"/>
          <w:lang w:val="en-US"/>
        </w:rPr>
        <w:t>Email discussion 106#35</w:t>
      </w:r>
    </w:p>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A00002EF" w:usb1="4000207B" w:usb2="00000000" w:usb3="00000000" w:csb0="2000009F" w:csb1="00000000"/>
  </w:font>
  <w:font w:name="Consolas">
    <w:panose1 w:val="020B0609020204030204"/>
    <w:charset w:val="00"/>
    <w:family w:val="modern"/>
    <w:pitch w:val="default"/>
    <w:sig w:usb0="A00002EF" w:usb1="4000204B" w:usb2="00000000" w:usb3="00000000" w:csb0="200000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46E9E5"/>
    <w:multiLevelType w:val="multilevel"/>
    <w:tmpl w:val="E246E9E5"/>
    <w:lvl w:ilvl="0" w:tentative="0">
      <w:start w:val="1"/>
      <w:numFmt w:val="decimal"/>
      <w:lvlText w:val="Observation %1."/>
      <w:lvlJc w:val="left"/>
      <w:pPr>
        <w:ind w:left="425" w:hanging="425"/>
      </w:pPr>
      <w:rPr>
        <w:rFonts w:hint="default" w:ascii="Times New Roman" w:hAnsi="Times New Roman"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80EB8D2"/>
    <w:multiLevelType w:val="singleLevel"/>
    <w:tmpl w:val="F80EB8D2"/>
    <w:lvl w:ilvl="0" w:tentative="0">
      <w:start w:val="1"/>
      <w:numFmt w:val="decimal"/>
      <w:lvlText w:val="Proposal %1"/>
      <w:lvlJc w:val="left"/>
      <w:pPr>
        <w:tabs>
          <w:tab w:val="left" w:pos="420"/>
        </w:tabs>
        <w:ind w:left="425" w:leftChars="0" w:hanging="425" w:firstLineChars="0"/>
      </w:pPr>
      <w:rPr>
        <w:rFonts w:hint="default" w:ascii="Times New Roman" w:hAnsi="Times New Roman" w:cs="Calibri"/>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90CF392"/>
    <w:multiLevelType w:val="singleLevel"/>
    <w:tmpl w:val="190CF392"/>
    <w:lvl w:ilvl="0" w:tentative="0">
      <w:start w:val="1"/>
      <w:numFmt w:val="decimal"/>
      <w:lvlText w:val="Proposal %1"/>
      <w:lvlJc w:val="left"/>
      <w:pPr>
        <w:tabs>
          <w:tab w:val="left" w:pos="420"/>
        </w:tabs>
        <w:ind w:left="425" w:leftChars="0" w:hanging="425" w:firstLineChars="0"/>
      </w:pPr>
      <w:rPr>
        <w:rFonts w:hint="default" w:ascii="Times New Roman" w:hAnsi="Times New Roman" w:cs="Calibri"/>
      </w:rPr>
    </w:lvl>
  </w:abstractNum>
  <w:abstractNum w:abstractNumId="5">
    <w:nsid w:val="3653576A"/>
    <w:multiLevelType w:val="multilevel"/>
    <w:tmpl w:val="3653576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57CB236"/>
    <w:multiLevelType w:val="multilevel"/>
    <w:tmpl w:val="457CB236"/>
    <w:lvl w:ilvl="0" w:tentative="0">
      <w:start w:val="1"/>
      <w:numFmt w:val="decimal"/>
      <w:lvlText w:val="Observation %1."/>
      <w:lvlJc w:val="left"/>
      <w:pPr>
        <w:ind w:left="425" w:hanging="425"/>
      </w:pPr>
      <w:rPr>
        <w:rFonts w:hint="default" w:ascii="Times New Roman" w:hAnsi="Times New Roman"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5101505E"/>
    <w:multiLevelType w:val="multilevel"/>
    <w:tmpl w:val="5101505E"/>
    <w:lvl w:ilvl="0" w:tentative="0">
      <w:start w:val="1"/>
      <w:numFmt w:val="decimal"/>
      <w:pStyle w:val="27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5683334"/>
    <w:multiLevelType w:val="multilevel"/>
    <w:tmpl w:val="55683334"/>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2"/>
  </w:num>
  <w:num w:numId="2">
    <w:abstractNumId w:val="7"/>
  </w:num>
  <w:num w:numId="3">
    <w:abstractNumId w:val="3"/>
  </w:num>
  <w:num w:numId="4">
    <w:abstractNumId w:val="8"/>
  </w:num>
  <w:num w:numId="5">
    <w:abstractNumId w:val="0"/>
  </w:num>
  <w:num w:numId="6">
    <w:abstractNumId w:val="1"/>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hyphenationZone w:val="283"/>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0F2"/>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6DB2"/>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16D7"/>
    <w:rsid w:val="00DC22BE"/>
    <w:rsid w:val="00DC5F62"/>
    <w:rsid w:val="00DC7FAF"/>
    <w:rsid w:val="00DD02BA"/>
    <w:rsid w:val="00DD100B"/>
    <w:rsid w:val="00DD42F9"/>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197935"/>
    <w:rsid w:val="0125053D"/>
    <w:rsid w:val="01304D4E"/>
    <w:rsid w:val="01380404"/>
    <w:rsid w:val="014720D7"/>
    <w:rsid w:val="016429DB"/>
    <w:rsid w:val="01720BE7"/>
    <w:rsid w:val="017805EF"/>
    <w:rsid w:val="017B3921"/>
    <w:rsid w:val="01884E40"/>
    <w:rsid w:val="019D5AF5"/>
    <w:rsid w:val="01A30E9F"/>
    <w:rsid w:val="01A97168"/>
    <w:rsid w:val="01C87131"/>
    <w:rsid w:val="01D10E16"/>
    <w:rsid w:val="01D93AD6"/>
    <w:rsid w:val="01E561F2"/>
    <w:rsid w:val="01EA4673"/>
    <w:rsid w:val="02107794"/>
    <w:rsid w:val="022243BF"/>
    <w:rsid w:val="024E797F"/>
    <w:rsid w:val="02523310"/>
    <w:rsid w:val="02550ACE"/>
    <w:rsid w:val="025A3625"/>
    <w:rsid w:val="025B152B"/>
    <w:rsid w:val="02662787"/>
    <w:rsid w:val="026D73E1"/>
    <w:rsid w:val="028A3B7A"/>
    <w:rsid w:val="02CA1FD3"/>
    <w:rsid w:val="02E13FF4"/>
    <w:rsid w:val="02F818C1"/>
    <w:rsid w:val="0306294B"/>
    <w:rsid w:val="030856B5"/>
    <w:rsid w:val="031401BA"/>
    <w:rsid w:val="032003F8"/>
    <w:rsid w:val="033F2C99"/>
    <w:rsid w:val="03404078"/>
    <w:rsid w:val="034D2110"/>
    <w:rsid w:val="036B1ABD"/>
    <w:rsid w:val="037C305D"/>
    <w:rsid w:val="037D4E69"/>
    <w:rsid w:val="039373EB"/>
    <w:rsid w:val="03A04F12"/>
    <w:rsid w:val="03B75DC7"/>
    <w:rsid w:val="03BA639A"/>
    <w:rsid w:val="03CD590F"/>
    <w:rsid w:val="04043AF0"/>
    <w:rsid w:val="0428342F"/>
    <w:rsid w:val="04484436"/>
    <w:rsid w:val="044A4632"/>
    <w:rsid w:val="046C2600"/>
    <w:rsid w:val="04910D7C"/>
    <w:rsid w:val="04AA2BD4"/>
    <w:rsid w:val="04BD0D3B"/>
    <w:rsid w:val="04D96073"/>
    <w:rsid w:val="04E608F9"/>
    <w:rsid w:val="04E947B4"/>
    <w:rsid w:val="04F07ADF"/>
    <w:rsid w:val="051A2788"/>
    <w:rsid w:val="051B25C3"/>
    <w:rsid w:val="057E44E3"/>
    <w:rsid w:val="058B0B55"/>
    <w:rsid w:val="05B61AC5"/>
    <w:rsid w:val="05CE1556"/>
    <w:rsid w:val="05EF07C9"/>
    <w:rsid w:val="06015A3C"/>
    <w:rsid w:val="06027EF5"/>
    <w:rsid w:val="060C0CA5"/>
    <w:rsid w:val="06110B74"/>
    <w:rsid w:val="061A315C"/>
    <w:rsid w:val="06252B22"/>
    <w:rsid w:val="063D613E"/>
    <w:rsid w:val="06694E5F"/>
    <w:rsid w:val="067361BA"/>
    <w:rsid w:val="06824FEB"/>
    <w:rsid w:val="068C355E"/>
    <w:rsid w:val="06BF01A7"/>
    <w:rsid w:val="06D9595F"/>
    <w:rsid w:val="070133B2"/>
    <w:rsid w:val="07283DE5"/>
    <w:rsid w:val="0732210F"/>
    <w:rsid w:val="074D24C6"/>
    <w:rsid w:val="07507AAC"/>
    <w:rsid w:val="075626E1"/>
    <w:rsid w:val="078808A5"/>
    <w:rsid w:val="078E330A"/>
    <w:rsid w:val="07A006CC"/>
    <w:rsid w:val="07A630F4"/>
    <w:rsid w:val="07AA222B"/>
    <w:rsid w:val="07B5421C"/>
    <w:rsid w:val="07CA2462"/>
    <w:rsid w:val="07D90597"/>
    <w:rsid w:val="07DB1F23"/>
    <w:rsid w:val="07EB35D1"/>
    <w:rsid w:val="07FD6D5F"/>
    <w:rsid w:val="07FF6BD0"/>
    <w:rsid w:val="082323C7"/>
    <w:rsid w:val="082E44D1"/>
    <w:rsid w:val="08533175"/>
    <w:rsid w:val="087E10BE"/>
    <w:rsid w:val="08804573"/>
    <w:rsid w:val="08822ECE"/>
    <w:rsid w:val="088B6E79"/>
    <w:rsid w:val="08B22098"/>
    <w:rsid w:val="08CA6B4A"/>
    <w:rsid w:val="08D17DCB"/>
    <w:rsid w:val="08DD3AA4"/>
    <w:rsid w:val="08EB3F64"/>
    <w:rsid w:val="09251CFD"/>
    <w:rsid w:val="092B21BF"/>
    <w:rsid w:val="09506A1B"/>
    <w:rsid w:val="095948E7"/>
    <w:rsid w:val="09682998"/>
    <w:rsid w:val="096E34B0"/>
    <w:rsid w:val="09712BE2"/>
    <w:rsid w:val="09730519"/>
    <w:rsid w:val="09953139"/>
    <w:rsid w:val="099A2FFA"/>
    <w:rsid w:val="09AD25DC"/>
    <w:rsid w:val="09AF3626"/>
    <w:rsid w:val="09C02B44"/>
    <w:rsid w:val="09C635D4"/>
    <w:rsid w:val="09C85D67"/>
    <w:rsid w:val="09CF7D35"/>
    <w:rsid w:val="09D07554"/>
    <w:rsid w:val="09D4401A"/>
    <w:rsid w:val="09E702AB"/>
    <w:rsid w:val="09F67490"/>
    <w:rsid w:val="0A047B3E"/>
    <w:rsid w:val="0A32165A"/>
    <w:rsid w:val="0A376299"/>
    <w:rsid w:val="0A39193C"/>
    <w:rsid w:val="0AAD201C"/>
    <w:rsid w:val="0AB90F90"/>
    <w:rsid w:val="0AC107AB"/>
    <w:rsid w:val="0AD36590"/>
    <w:rsid w:val="0AE2091B"/>
    <w:rsid w:val="0AEE11E8"/>
    <w:rsid w:val="0AFF138C"/>
    <w:rsid w:val="0B1E6E63"/>
    <w:rsid w:val="0B1F62A3"/>
    <w:rsid w:val="0B2D130D"/>
    <w:rsid w:val="0B60798A"/>
    <w:rsid w:val="0B6E2B79"/>
    <w:rsid w:val="0B7E21AB"/>
    <w:rsid w:val="0B885890"/>
    <w:rsid w:val="0B8D0232"/>
    <w:rsid w:val="0B9161E5"/>
    <w:rsid w:val="0BA3654E"/>
    <w:rsid w:val="0BAD0D22"/>
    <w:rsid w:val="0BB41626"/>
    <w:rsid w:val="0BDA3ED2"/>
    <w:rsid w:val="0C3937F5"/>
    <w:rsid w:val="0C746CCF"/>
    <w:rsid w:val="0C78761E"/>
    <w:rsid w:val="0C7E74F0"/>
    <w:rsid w:val="0C8C6D73"/>
    <w:rsid w:val="0C98504D"/>
    <w:rsid w:val="0CB44C57"/>
    <w:rsid w:val="0CC2007A"/>
    <w:rsid w:val="0CDB4889"/>
    <w:rsid w:val="0CF94478"/>
    <w:rsid w:val="0D181BB1"/>
    <w:rsid w:val="0D1A27A3"/>
    <w:rsid w:val="0D21609D"/>
    <w:rsid w:val="0D225F51"/>
    <w:rsid w:val="0D2462BF"/>
    <w:rsid w:val="0D296530"/>
    <w:rsid w:val="0D7E00DA"/>
    <w:rsid w:val="0D7F2E80"/>
    <w:rsid w:val="0D981D69"/>
    <w:rsid w:val="0D9D48DB"/>
    <w:rsid w:val="0DA34B40"/>
    <w:rsid w:val="0DAC7851"/>
    <w:rsid w:val="0DCF3416"/>
    <w:rsid w:val="0DE35839"/>
    <w:rsid w:val="0E0346AA"/>
    <w:rsid w:val="0E090268"/>
    <w:rsid w:val="0E0A382E"/>
    <w:rsid w:val="0E1E5186"/>
    <w:rsid w:val="0E3F3320"/>
    <w:rsid w:val="0E674054"/>
    <w:rsid w:val="0E6E039F"/>
    <w:rsid w:val="0E6E1AF1"/>
    <w:rsid w:val="0E741C25"/>
    <w:rsid w:val="0E8D120F"/>
    <w:rsid w:val="0E9B0E1A"/>
    <w:rsid w:val="0EBB1479"/>
    <w:rsid w:val="0ED45A6F"/>
    <w:rsid w:val="0EF22955"/>
    <w:rsid w:val="0EFA18F2"/>
    <w:rsid w:val="0F0F6F85"/>
    <w:rsid w:val="0F1C5A04"/>
    <w:rsid w:val="0F253EE5"/>
    <w:rsid w:val="0F3870C4"/>
    <w:rsid w:val="0F466704"/>
    <w:rsid w:val="0F7962E8"/>
    <w:rsid w:val="0F830E99"/>
    <w:rsid w:val="0F8A6571"/>
    <w:rsid w:val="0F924692"/>
    <w:rsid w:val="0FD76755"/>
    <w:rsid w:val="0FE5349C"/>
    <w:rsid w:val="10146D39"/>
    <w:rsid w:val="1022572B"/>
    <w:rsid w:val="103A31BB"/>
    <w:rsid w:val="10771480"/>
    <w:rsid w:val="10810A46"/>
    <w:rsid w:val="10A4002B"/>
    <w:rsid w:val="10C0668A"/>
    <w:rsid w:val="10DC4226"/>
    <w:rsid w:val="11137A9F"/>
    <w:rsid w:val="11220330"/>
    <w:rsid w:val="11305185"/>
    <w:rsid w:val="11772542"/>
    <w:rsid w:val="118B46BF"/>
    <w:rsid w:val="11907D6A"/>
    <w:rsid w:val="11C47698"/>
    <w:rsid w:val="11C63544"/>
    <w:rsid w:val="1205772F"/>
    <w:rsid w:val="121D0D6F"/>
    <w:rsid w:val="12271D82"/>
    <w:rsid w:val="122C3A07"/>
    <w:rsid w:val="122E46A4"/>
    <w:rsid w:val="124A7AC8"/>
    <w:rsid w:val="12714363"/>
    <w:rsid w:val="127E23EF"/>
    <w:rsid w:val="12A76F1E"/>
    <w:rsid w:val="12B8590F"/>
    <w:rsid w:val="12CD705E"/>
    <w:rsid w:val="12DE3A55"/>
    <w:rsid w:val="12E50DFA"/>
    <w:rsid w:val="13013944"/>
    <w:rsid w:val="1304495D"/>
    <w:rsid w:val="13057DAF"/>
    <w:rsid w:val="131941FF"/>
    <w:rsid w:val="133A0628"/>
    <w:rsid w:val="1348230E"/>
    <w:rsid w:val="13621162"/>
    <w:rsid w:val="136732AF"/>
    <w:rsid w:val="1374788D"/>
    <w:rsid w:val="137B4A3F"/>
    <w:rsid w:val="138A0395"/>
    <w:rsid w:val="13A20F21"/>
    <w:rsid w:val="13A97E7F"/>
    <w:rsid w:val="13B323FC"/>
    <w:rsid w:val="13C453B0"/>
    <w:rsid w:val="13D41CF7"/>
    <w:rsid w:val="13F15A54"/>
    <w:rsid w:val="13FD5C8B"/>
    <w:rsid w:val="14050187"/>
    <w:rsid w:val="140C033D"/>
    <w:rsid w:val="140D2A6D"/>
    <w:rsid w:val="140E6947"/>
    <w:rsid w:val="14126B5B"/>
    <w:rsid w:val="141A2765"/>
    <w:rsid w:val="142B7F16"/>
    <w:rsid w:val="14491980"/>
    <w:rsid w:val="14637AB5"/>
    <w:rsid w:val="14816866"/>
    <w:rsid w:val="148B7313"/>
    <w:rsid w:val="148C25FE"/>
    <w:rsid w:val="1499714E"/>
    <w:rsid w:val="14A40973"/>
    <w:rsid w:val="14CE03FD"/>
    <w:rsid w:val="14D73069"/>
    <w:rsid w:val="14E54C4A"/>
    <w:rsid w:val="14E75DF1"/>
    <w:rsid w:val="15121CE7"/>
    <w:rsid w:val="152C628F"/>
    <w:rsid w:val="153C3427"/>
    <w:rsid w:val="153E5C2E"/>
    <w:rsid w:val="155203AB"/>
    <w:rsid w:val="15757C7F"/>
    <w:rsid w:val="157D6C4E"/>
    <w:rsid w:val="158C2EEB"/>
    <w:rsid w:val="158E5AEA"/>
    <w:rsid w:val="159761FE"/>
    <w:rsid w:val="15A14FB4"/>
    <w:rsid w:val="15A71257"/>
    <w:rsid w:val="15D35913"/>
    <w:rsid w:val="15D84475"/>
    <w:rsid w:val="15E07012"/>
    <w:rsid w:val="15F14DEF"/>
    <w:rsid w:val="16083949"/>
    <w:rsid w:val="160C22E0"/>
    <w:rsid w:val="1619355A"/>
    <w:rsid w:val="16264105"/>
    <w:rsid w:val="1629372F"/>
    <w:rsid w:val="162B23EA"/>
    <w:rsid w:val="16336BFB"/>
    <w:rsid w:val="163A20D3"/>
    <w:rsid w:val="163C5D48"/>
    <w:rsid w:val="16442A8F"/>
    <w:rsid w:val="164E163A"/>
    <w:rsid w:val="165322A4"/>
    <w:rsid w:val="165E61EB"/>
    <w:rsid w:val="16680D09"/>
    <w:rsid w:val="16727717"/>
    <w:rsid w:val="167A19DE"/>
    <w:rsid w:val="16804397"/>
    <w:rsid w:val="16855594"/>
    <w:rsid w:val="168C00F5"/>
    <w:rsid w:val="16B310D0"/>
    <w:rsid w:val="16C554F1"/>
    <w:rsid w:val="16F07085"/>
    <w:rsid w:val="17036CE0"/>
    <w:rsid w:val="175030CF"/>
    <w:rsid w:val="17543750"/>
    <w:rsid w:val="17991010"/>
    <w:rsid w:val="17B510F0"/>
    <w:rsid w:val="17BB63C6"/>
    <w:rsid w:val="17BF5676"/>
    <w:rsid w:val="17D41346"/>
    <w:rsid w:val="17D947ED"/>
    <w:rsid w:val="17E356DA"/>
    <w:rsid w:val="17FB73DA"/>
    <w:rsid w:val="18143E48"/>
    <w:rsid w:val="182378A1"/>
    <w:rsid w:val="183160A6"/>
    <w:rsid w:val="18320839"/>
    <w:rsid w:val="184B6B17"/>
    <w:rsid w:val="185041D6"/>
    <w:rsid w:val="185A4E0B"/>
    <w:rsid w:val="18B00B75"/>
    <w:rsid w:val="18B34B1D"/>
    <w:rsid w:val="18BB4D51"/>
    <w:rsid w:val="18F4078B"/>
    <w:rsid w:val="1907709C"/>
    <w:rsid w:val="191C4933"/>
    <w:rsid w:val="19322D84"/>
    <w:rsid w:val="194D319A"/>
    <w:rsid w:val="194D33E6"/>
    <w:rsid w:val="1961067C"/>
    <w:rsid w:val="19775FAF"/>
    <w:rsid w:val="197E7EC1"/>
    <w:rsid w:val="199A798E"/>
    <w:rsid w:val="19A044BC"/>
    <w:rsid w:val="19B91B04"/>
    <w:rsid w:val="19BA1B8F"/>
    <w:rsid w:val="19C1622F"/>
    <w:rsid w:val="1A0C2310"/>
    <w:rsid w:val="1A0F0344"/>
    <w:rsid w:val="1A50145F"/>
    <w:rsid w:val="1A643357"/>
    <w:rsid w:val="1A690678"/>
    <w:rsid w:val="1A7413B7"/>
    <w:rsid w:val="1A7B50FF"/>
    <w:rsid w:val="1A8C393D"/>
    <w:rsid w:val="1AB057E6"/>
    <w:rsid w:val="1ADE782E"/>
    <w:rsid w:val="1AE419DF"/>
    <w:rsid w:val="1AE66911"/>
    <w:rsid w:val="1AE732E0"/>
    <w:rsid w:val="1AEC2E03"/>
    <w:rsid w:val="1B0F4977"/>
    <w:rsid w:val="1B133656"/>
    <w:rsid w:val="1B4C6BD3"/>
    <w:rsid w:val="1B602821"/>
    <w:rsid w:val="1B655004"/>
    <w:rsid w:val="1B6F118C"/>
    <w:rsid w:val="1B776BE1"/>
    <w:rsid w:val="1B79317C"/>
    <w:rsid w:val="1B850160"/>
    <w:rsid w:val="1BAD1BA9"/>
    <w:rsid w:val="1BB075AE"/>
    <w:rsid w:val="1BBB0BC8"/>
    <w:rsid w:val="1BC45BEE"/>
    <w:rsid w:val="1BCF433C"/>
    <w:rsid w:val="1BD948B4"/>
    <w:rsid w:val="1BEB4B53"/>
    <w:rsid w:val="1BF27673"/>
    <w:rsid w:val="1BFE4BCC"/>
    <w:rsid w:val="1C1E56D0"/>
    <w:rsid w:val="1C316406"/>
    <w:rsid w:val="1C32098F"/>
    <w:rsid w:val="1C3215DD"/>
    <w:rsid w:val="1C394A3C"/>
    <w:rsid w:val="1C4147AB"/>
    <w:rsid w:val="1C4C3E04"/>
    <w:rsid w:val="1C7840E8"/>
    <w:rsid w:val="1C8970C4"/>
    <w:rsid w:val="1C9B2170"/>
    <w:rsid w:val="1CA17973"/>
    <w:rsid w:val="1CA513CD"/>
    <w:rsid w:val="1CAE6C4C"/>
    <w:rsid w:val="1CC05A03"/>
    <w:rsid w:val="1CC750B2"/>
    <w:rsid w:val="1CCB6270"/>
    <w:rsid w:val="1CEA0B9B"/>
    <w:rsid w:val="1D132C89"/>
    <w:rsid w:val="1D38238F"/>
    <w:rsid w:val="1D3F5138"/>
    <w:rsid w:val="1D43286A"/>
    <w:rsid w:val="1D7F7380"/>
    <w:rsid w:val="1D837934"/>
    <w:rsid w:val="1D876168"/>
    <w:rsid w:val="1D9E6E40"/>
    <w:rsid w:val="1DC735BA"/>
    <w:rsid w:val="1DCF713F"/>
    <w:rsid w:val="1DD632CD"/>
    <w:rsid w:val="1DD64509"/>
    <w:rsid w:val="1DE05EB7"/>
    <w:rsid w:val="1DE5578F"/>
    <w:rsid w:val="1DFE5485"/>
    <w:rsid w:val="1E045AF5"/>
    <w:rsid w:val="1E0F008B"/>
    <w:rsid w:val="1E305374"/>
    <w:rsid w:val="1E384F8E"/>
    <w:rsid w:val="1E427F2D"/>
    <w:rsid w:val="1E4C7D30"/>
    <w:rsid w:val="1E7D38DE"/>
    <w:rsid w:val="1E9639DF"/>
    <w:rsid w:val="1EA7791D"/>
    <w:rsid w:val="1EB41FAE"/>
    <w:rsid w:val="1EBF3882"/>
    <w:rsid w:val="1ECA5336"/>
    <w:rsid w:val="1EEC0A59"/>
    <w:rsid w:val="1EFE3CD0"/>
    <w:rsid w:val="1F005D29"/>
    <w:rsid w:val="1F1507AF"/>
    <w:rsid w:val="1F161863"/>
    <w:rsid w:val="1F2C1B1A"/>
    <w:rsid w:val="1F3F7E23"/>
    <w:rsid w:val="1F523FDB"/>
    <w:rsid w:val="1F5814EC"/>
    <w:rsid w:val="1F5F7CC1"/>
    <w:rsid w:val="1F6272E1"/>
    <w:rsid w:val="1F6645CB"/>
    <w:rsid w:val="1F673EE3"/>
    <w:rsid w:val="1F9A74A0"/>
    <w:rsid w:val="1FC021A3"/>
    <w:rsid w:val="1FD37762"/>
    <w:rsid w:val="1FEB7356"/>
    <w:rsid w:val="201D5F97"/>
    <w:rsid w:val="20277CE5"/>
    <w:rsid w:val="2035397F"/>
    <w:rsid w:val="20572AFF"/>
    <w:rsid w:val="2083155B"/>
    <w:rsid w:val="2093290B"/>
    <w:rsid w:val="20936481"/>
    <w:rsid w:val="209A1225"/>
    <w:rsid w:val="21280F6B"/>
    <w:rsid w:val="21283DC1"/>
    <w:rsid w:val="212A36C8"/>
    <w:rsid w:val="212E7E9C"/>
    <w:rsid w:val="2130301A"/>
    <w:rsid w:val="21432A77"/>
    <w:rsid w:val="217A5ABE"/>
    <w:rsid w:val="21827B42"/>
    <w:rsid w:val="21D30534"/>
    <w:rsid w:val="21D56E04"/>
    <w:rsid w:val="21DE0377"/>
    <w:rsid w:val="21EA0742"/>
    <w:rsid w:val="21EF5C11"/>
    <w:rsid w:val="220157DA"/>
    <w:rsid w:val="22174B18"/>
    <w:rsid w:val="22264CCB"/>
    <w:rsid w:val="22517F0E"/>
    <w:rsid w:val="22590288"/>
    <w:rsid w:val="22776456"/>
    <w:rsid w:val="227821CE"/>
    <w:rsid w:val="22974D53"/>
    <w:rsid w:val="22B30063"/>
    <w:rsid w:val="22DB3FFB"/>
    <w:rsid w:val="22E53CFD"/>
    <w:rsid w:val="22E7591F"/>
    <w:rsid w:val="22E97CB3"/>
    <w:rsid w:val="22F6166E"/>
    <w:rsid w:val="22F83315"/>
    <w:rsid w:val="23010FF0"/>
    <w:rsid w:val="230612BB"/>
    <w:rsid w:val="230B1A3A"/>
    <w:rsid w:val="230C273D"/>
    <w:rsid w:val="23281F36"/>
    <w:rsid w:val="233C4B1C"/>
    <w:rsid w:val="2362243E"/>
    <w:rsid w:val="23741634"/>
    <w:rsid w:val="23991C0B"/>
    <w:rsid w:val="23A30346"/>
    <w:rsid w:val="23AF01E8"/>
    <w:rsid w:val="23AF5D19"/>
    <w:rsid w:val="23B70711"/>
    <w:rsid w:val="23BA05F7"/>
    <w:rsid w:val="23BA34CA"/>
    <w:rsid w:val="23BC4F39"/>
    <w:rsid w:val="23DF13DF"/>
    <w:rsid w:val="23E500F3"/>
    <w:rsid w:val="24025F41"/>
    <w:rsid w:val="240D7639"/>
    <w:rsid w:val="240F60DE"/>
    <w:rsid w:val="243A4C58"/>
    <w:rsid w:val="243B46E9"/>
    <w:rsid w:val="24445E0D"/>
    <w:rsid w:val="246452B0"/>
    <w:rsid w:val="247300E2"/>
    <w:rsid w:val="24AE207B"/>
    <w:rsid w:val="24B505FC"/>
    <w:rsid w:val="24BB4F69"/>
    <w:rsid w:val="24CE74C8"/>
    <w:rsid w:val="24DA4B7A"/>
    <w:rsid w:val="24F139F0"/>
    <w:rsid w:val="24FF5440"/>
    <w:rsid w:val="252F6651"/>
    <w:rsid w:val="25310035"/>
    <w:rsid w:val="25385D54"/>
    <w:rsid w:val="253B3588"/>
    <w:rsid w:val="25541FF0"/>
    <w:rsid w:val="25595B1F"/>
    <w:rsid w:val="25613F4E"/>
    <w:rsid w:val="256849EF"/>
    <w:rsid w:val="257D0AB2"/>
    <w:rsid w:val="25805509"/>
    <w:rsid w:val="259E552F"/>
    <w:rsid w:val="25D216E5"/>
    <w:rsid w:val="25E2017B"/>
    <w:rsid w:val="2624798C"/>
    <w:rsid w:val="262A225E"/>
    <w:rsid w:val="263A5013"/>
    <w:rsid w:val="263B066E"/>
    <w:rsid w:val="263D3F60"/>
    <w:rsid w:val="2640565C"/>
    <w:rsid w:val="26421856"/>
    <w:rsid w:val="264F6681"/>
    <w:rsid w:val="265B640A"/>
    <w:rsid w:val="265B78B8"/>
    <w:rsid w:val="26677914"/>
    <w:rsid w:val="26686626"/>
    <w:rsid w:val="266A644D"/>
    <w:rsid w:val="2679122C"/>
    <w:rsid w:val="267E3E85"/>
    <w:rsid w:val="268255B5"/>
    <w:rsid w:val="26A8187E"/>
    <w:rsid w:val="26AC64C2"/>
    <w:rsid w:val="26B138D7"/>
    <w:rsid w:val="26D217E0"/>
    <w:rsid w:val="26D92D8E"/>
    <w:rsid w:val="26E756B5"/>
    <w:rsid w:val="26F26520"/>
    <w:rsid w:val="27106BB1"/>
    <w:rsid w:val="2738087E"/>
    <w:rsid w:val="27384934"/>
    <w:rsid w:val="27472992"/>
    <w:rsid w:val="274C6D5B"/>
    <w:rsid w:val="276224B4"/>
    <w:rsid w:val="276369EE"/>
    <w:rsid w:val="27843570"/>
    <w:rsid w:val="278D3D9A"/>
    <w:rsid w:val="278E11AF"/>
    <w:rsid w:val="279948D8"/>
    <w:rsid w:val="279E5C87"/>
    <w:rsid w:val="27B37802"/>
    <w:rsid w:val="27C94471"/>
    <w:rsid w:val="27D75AD1"/>
    <w:rsid w:val="27E54321"/>
    <w:rsid w:val="27E85A9A"/>
    <w:rsid w:val="27EE4106"/>
    <w:rsid w:val="27F70B39"/>
    <w:rsid w:val="28096E54"/>
    <w:rsid w:val="280E4B50"/>
    <w:rsid w:val="28200235"/>
    <w:rsid w:val="282C6EF7"/>
    <w:rsid w:val="2830041B"/>
    <w:rsid w:val="28476ABB"/>
    <w:rsid w:val="285B6C9C"/>
    <w:rsid w:val="28675CFF"/>
    <w:rsid w:val="288B6CF1"/>
    <w:rsid w:val="289949FD"/>
    <w:rsid w:val="28B06C28"/>
    <w:rsid w:val="28B10906"/>
    <w:rsid w:val="28C030A8"/>
    <w:rsid w:val="28C512D7"/>
    <w:rsid w:val="28D727C0"/>
    <w:rsid w:val="28E61190"/>
    <w:rsid w:val="28E752D5"/>
    <w:rsid w:val="28F84057"/>
    <w:rsid w:val="28FB51D5"/>
    <w:rsid w:val="29056B61"/>
    <w:rsid w:val="29156420"/>
    <w:rsid w:val="292A53AD"/>
    <w:rsid w:val="293636BA"/>
    <w:rsid w:val="293B1304"/>
    <w:rsid w:val="295C37D3"/>
    <w:rsid w:val="295F4DA4"/>
    <w:rsid w:val="29654520"/>
    <w:rsid w:val="297A7632"/>
    <w:rsid w:val="2996198C"/>
    <w:rsid w:val="29C47EB0"/>
    <w:rsid w:val="29D26A74"/>
    <w:rsid w:val="29DC1BDB"/>
    <w:rsid w:val="29F71E6E"/>
    <w:rsid w:val="29F95C39"/>
    <w:rsid w:val="2A011E15"/>
    <w:rsid w:val="2A11602C"/>
    <w:rsid w:val="2A1C47DF"/>
    <w:rsid w:val="2A212850"/>
    <w:rsid w:val="2A2F7068"/>
    <w:rsid w:val="2A311ED8"/>
    <w:rsid w:val="2A37668E"/>
    <w:rsid w:val="2A405FA8"/>
    <w:rsid w:val="2A5F7448"/>
    <w:rsid w:val="2A650986"/>
    <w:rsid w:val="2A6D00D3"/>
    <w:rsid w:val="2AB66B90"/>
    <w:rsid w:val="2ABC778F"/>
    <w:rsid w:val="2AC83817"/>
    <w:rsid w:val="2ACA3407"/>
    <w:rsid w:val="2AD22E2C"/>
    <w:rsid w:val="2B067BEB"/>
    <w:rsid w:val="2B2565F9"/>
    <w:rsid w:val="2B3544EF"/>
    <w:rsid w:val="2B5509B8"/>
    <w:rsid w:val="2B626873"/>
    <w:rsid w:val="2B691D02"/>
    <w:rsid w:val="2B72718E"/>
    <w:rsid w:val="2B762F4B"/>
    <w:rsid w:val="2B7A16F9"/>
    <w:rsid w:val="2B80231C"/>
    <w:rsid w:val="2B836B79"/>
    <w:rsid w:val="2B886BD8"/>
    <w:rsid w:val="2B8B787D"/>
    <w:rsid w:val="2B8D3F76"/>
    <w:rsid w:val="2B9D7E86"/>
    <w:rsid w:val="2BAB6119"/>
    <w:rsid w:val="2BBF4B0F"/>
    <w:rsid w:val="2BCE7B9E"/>
    <w:rsid w:val="2BF10A29"/>
    <w:rsid w:val="2C166738"/>
    <w:rsid w:val="2C3A05CF"/>
    <w:rsid w:val="2C566758"/>
    <w:rsid w:val="2C605D57"/>
    <w:rsid w:val="2C7F49CE"/>
    <w:rsid w:val="2C805741"/>
    <w:rsid w:val="2C89295F"/>
    <w:rsid w:val="2CAA2F6C"/>
    <w:rsid w:val="2CAB1132"/>
    <w:rsid w:val="2CAE0F8F"/>
    <w:rsid w:val="2CC00534"/>
    <w:rsid w:val="2CF26F28"/>
    <w:rsid w:val="2D173EE7"/>
    <w:rsid w:val="2D261309"/>
    <w:rsid w:val="2D2B1431"/>
    <w:rsid w:val="2D2D4BBC"/>
    <w:rsid w:val="2D3A5FA1"/>
    <w:rsid w:val="2D3C73A5"/>
    <w:rsid w:val="2D7217DC"/>
    <w:rsid w:val="2D7A712B"/>
    <w:rsid w:val="2D7F6F21"/>
    <w:rsid w:val="2D86070D"/>
    <w:rsid w:val="2D8F2155"/>
    <w:rsid w:val="2D8F5892"/>
    <w:rsid w:val="2DC80216"/>
    <w:rsid w:val="2DD059B7"/>
    <w:rsid w:val="2E087904"/>
    <w:rsid w:val="2E0A2685"/>
    <w:rsid w:val="2E1C3B55"/>
    <w:rsid w:val="2E244B92"/>
    <w:rsid w:val="2E301A69"/>
    <w:rsid w:val="2E3110B1"/>
    <w:rsid w:val="2E4F0764"/>
    <w:rsid w:val="2E647745"/>
    <w:rsid w:val="2E991796"/>
    <w:rsid w:val="2EB6442B"/>
    <w:rsid w:val="2ECB010F"/>
    <w:rsid w:val="2ED11E06"/>
    <w:rsid w:val="2ED13AE9"/>
    <w:rsid w:val="2EDF365D"/>
    <w:rsid w:val="2EFF48DB"/>
    <w:rsid w:val="2F162980"/>
    <w:rsid w:val="2F162CEC"/>
    <w:rsid w:val="2F2C726E"/>
    <w:rsid w:val="2F450F91"/>
    <w:rsid w:val="2F4B30E7"/>
    <w:rsid w:val="2F536A09"/>
    <w:rsid w:val="2F5628D9"/>
    <w:rsid w:val="2F570C04"/>
    <w:rsid w:val="2F68454B"/>
    <w:rsid w:val="2F6E5178"/>
    <w:rsid w:val="2F6F5435"/>
    <w:rsid w:val="2FA03052"/>
    <w:rsid w:val="2FA330C1"/>
    <w:rsid w:val="2FAB4398"/>
    <w:rsid w:val="2FBB63AA"/>
    <w:rsid w:val="2FCC0493"/>
    <w:rsid w:val="2FCC1562"/>
    <w:rsid w:val="2FEB469E"/>
    <w:rsid w:val="300E487C"/>
    <w:rsid w:val="301F186B"/>
    <w:rsid w:val="305F2D07"/>
    <w:rsid w:val="306326A1"/>
    <w:rsid w:val="30796128"/>
    <w:rsid w:val="308B2230"/>
    <w:rsid w:val="309A69AA"/>
    <w:rsid w:val="30A26815"/>
    <w:rsid w:val="30A338F5"/>
    <w:rsid w:val="30A73838"/>
    <w:rsid w:val="30BD0BCE"/>
    <w:rsid w:val="30CF4562"/>
    <w:rsid w:val="30EA7A7A"/>
    <w:rsid w:val="30F913DF"/>
    <w:rsid w:val="3112642B"/>
    <w:rsid w:val="31160E7F"/>
    <w:rsid w:val="311624C1"/>
    <w:rsid w:val="31165308"/>
    <w:rsid w:val="311D695D"/>
    <w:rsid w:val="31450C09"/>
    <w:rsid w:val="31616FE5"/>
    <w:rsid w:val="31721E0B"/>
    <w:rsid w:val="31785ADD"/>
    <w:rsid w:val="317A57AC"/>
    <w:rsid w:val="31AE66AF"/>
    <w:rsid w:val="31E155A2"/>
    <w:rsid w:val="31F0605E"/>
    <w:rsid w:val="31FD236D"/>
    <w:rsid w:val="32005795"/>
    <w:rsid w:val="320D7653"/>
    <w:rsid w:val="32167BBB"/>
    <w:rsid w:val="32351B3E"/>
    <w:rsid w:val="323B1921"/>
    <w:rsid w:val="32480A5B"/>
    <w:rsid w:val="32681881"/>
    <w:rsid w:val="32B9185B"/>
    <w:rsid w:val="32C03874"/>
    <w:rsid w:val="32C44DF3"/>
    <w:rsid w:val="32CE6677"/>
    <w:rsid w:val="332253D2"/>
    <w:rsid w:val="33512BBA"/>
    <w:rsid w:val="3359701A"/>
    <w:rsid w:val="337A4A67"/>
    <w:rsid w:val="33A25EC0"/>
    <w:rsid w:val="33E11323"/>
    <w:rsid w:val="340659C1"/>
    <w:rsid w:val="34087D8F"/>
    <w:rsid w:val="342B1138"/>
    <w:rsid w:val="342B38C6"/>
    <w:rsid w:val="342E5A41"/>
    <w:rsid w:val="343D5CF3"/>
    <w:rsid w:val="34675B85"/>
    <w:rsid w:val="34691D0C"/>
    <w:rsid w:val="348867E6"/>
    <w:rsid w:val="34A84C5A"/>
    <w:rsid w:val="34C23891"/>
    <w:rsid w:val="34F30DDF"/>
    <w:rsid w:val="350D0C3D"/>
    <w:rsid w:val="35274675"/>
    <w:rsid w:val="353D3231"/>
    <w:rsid w:val="354F5D17"/>
    <w:rsid w:val="355B42E2"/>
    <w:rsid w:val="355E1F06"/>
    <w:rsid w:val="356248FB"/>
    <w:rsid w:val="35690796"/>
    <w:rsid w:val="356930E9"/>
    <w:rsid w:val="359E1449"/>
    <w:rsid w:val="35CE4CCB"/>
    <w:rsid w:val="35E63728"/>
    <w:rsid w:val="35EA3A88"/>
    <w:rsid w:val="3620192F"/>
    <w:rsid w:val="36601262"/>
    <w:rsid w:val="36AF3FF7"/>
    <w:rsid w:val="36B606BE"/>
    <w:rsid w:val="36BC3900"/>
    <w:rsid w:val="36CD1672"/>
    <w:rsid w:val="36EC6196"/>
    <w:rsid w:val="371234AC"/>
    <w:rsid w:val="3721274F"/>
    <w:rsid w:val="37241DA0"/>
    <w:rsid w:val="37262F0C"/>
    <w:rsid w:val="37402EFB"/>
    <w:rsid w:val="374F15F8"/>
    <w:rsid w:val="374F63FE"/>
    <w:rsid w:val="37553116"/>
    <w:rsid w:val="375678E1"/>
    <w:rsid w:val="37850E9E"/>
    <w:rsid w:val="379A3FF2"/>
    <w:rsid w:val="37A14F49"/>
    <w:rsid w:val="37A64CEC"/>
    <w:rsid w:val="37AA6282"/>
    <w:rsid w:val="37D47486"/>
    <w:rsid w:val="37D764C7"/>
    <w:rsid w:val="37F046AF"/>
    <w:rsid w:val="381161BA"/>
    <w:rsid w:val="381C2C44"/>
    <w:rsid w:val="382F3E55"/>
    <w:rsid w:val="383303B2"/>
    <w:rsid w:val="384F0E62"/>
    <w:rsid w:val="385174E5"/>
    <w:rsid w:val="38591C77"/>
    <w:rsid w:val="386B5D1F"/>
    <w:rsid w:val="387068E6"/>
    <w:rsid w:val="38773A25"/>
    <w:rsid w:val="38957BA7"/>
    <w:rsid w:val="38A5432F"/>
    <w:rsid w:val="38B3345E"/>
    <w:rsid w:val="38CE6C87"/>
    <w:rsid w:val="38D019A4"/>
    <w:rsid w:val="38DE78EC"/>
    <w:rsid w:val="38F210CC"/>
    <w:rsid w:val="38FE59EF"/>
    <w:rsid w:val="39076529"/>
    <w:rsid w:val="392229AC"/>
    <w:rsid w:val="392B3C0C"/>
    <w:rsid w:val="392D4E34"/>
    <w:rsid w:val="393677BA"/>
    <w:rsid w:val="3942743C"/>
    <w:rsid w:val="394617C2"/>
    <w:rsid w:val="395C264D"/>
    <w:rsid w:val="39701D8F"/>
    <w:rsid w:val="39794E35"/>
    <w:rsid w:val="397A1735"/>
    <w:rsid w:val="397F5DBA"/>
    <w:rsid w:val="399D284F"/>
    <w:rsid w:val="39A53ECA"/>
    <w:rsid w:val="39BD67F8"/>
    <w:rsid w:val="39BE20EC"/>
    <w:rsid w:val="39E052C8"/>
    <w:rsid w:val="39ED53D8"/>
    <w:rsid w:val="3A051944"/>
    <w:rsid w:val="3A164C99"/>
    <w:rsid w:val="3A1A7A23"/>
    <w:rsid w:val="3A224DD3"/>
    <w:rsid w:val="3A2C0F2C"/>
    <w:rsid w:val="3A361601"/>
    <w:rsid w:val="3A4211CB"/>
    <w:rsid w:val="3A5C05E2"/>
    <w:rsid w:val="3A684FF4"/>
    <w:rsid w:val="3A8D6FFE"/>
    <w:rsid w:val="3A905190"/>
    <w:rsid w:val="3AA748A9"/>
    <w:rsid w:val="3AB5664B"/>
    <w:rsid w:val="3B2834F7"/>
    <w:rsid w:val="3B4671A2"/>
    <w:rsid w:val="3B5C292A"/>
    <w:rsid w:val="3B6400EA"/>
    <w:rsid w:val="3B7544BA"/>
    <w:rsid w:val="3B9615D5"/>
    <w:rsid w:val="3B996C7A"/>
    <w:rsid w:val="3BA22A5B"/>
    <w:rsid w:val="3BD27691"/>
    <w:rsid w:val="3BF85A5C"/>
    <w:rsid w:val="3C06086D"/>
    <w:rsid w:val="3C0A7318"/>
    <w:rsid w:val="3C0F02A4"/>
    <w:rsid w:val="3C1E08D4"/>
    <w:rsid w:val="3C330F61"/>
    <w:rsid w:val="3C355916"/>
    <w:rsid w:val="3C517D0D"/>
    <w:rsid w:val="3C594E7F"/>
    <w:rsid w:val="3C6B6A63"/>
    <w:rsid w:val="3C9760C5"/>
    <w:rsid w:val="3C984482"/>
    <w:rsid w:val="3CA37F62"/>
    <w:rsid w:val="3CAF71D3"/>
    <w:rsid w:val="3CB31CB8"/>
    <w:rsid w:val="3CC92302"/>
    <w:rsid w:val="3CF738CA"/>
    <w:rsid w:val="3CFA61B1"/>
    <w:rsid w:val="3D2110F1"/>
    <w:rsid w:val="3D250D18"/>
    <w:rsid w:val="3D356DE3"/>
    <w:rsid w:val="3D4D77A0"/>
    <w:rsid w:val="3D4F618E"/>
    <w:rsid w:val="3D503F7E"/>
    <w:rsid w:val="3D69134E"/>
    <w:rsid w:val="3D73041F"/>
    <w:rsid w:val="3D796C9E"/>
    <w:rsid w:val="3D9A7677"/>
    <w:rsid w:val="3DA019FE"/>
    <w:rsid w:val="3DA66EC9"/>
    <w:rsid w:val="3DAA4418"/>
    <w:rsid w:val="3DF079B9"/>
    <w:rsid w:val="3DFC538A"/>
    <w:rsid w:val="3E096D1E"/>
    <w:rsid w:val="3E3728AA"/>
    <w:rsid w:val="3E3A6D43"/>
    <w:rsid w:val="3E3C468F"/>
    <w:rsid w:val="3E3D6019"/>
    <w:rsid w:val="3E3F119F"/>
    <w:rsid w:val="3E442503"/>
    <w:rsid w:val="3E4867DD"/>
    <w:rsid w:val="3E4923CA"/>
    <w:rsid w:val="3E551345"/>
    <w:rsid w:val="3E6E0D57"/>
    <w:rsid w:val="3E767C7A"/>
    <w:rsid w:val="3E7A5493"/>
    <w:rsid w:val="3EA4797A"/>
    <w:rsid w:val="3EBC6DF2"/>
    <w:rsid w:val="3F1E2615"/>
    <w:rsid w:val="3F1F4419"/>
    <w:rsid w:val="3F250266"/>
    <w:rsid w:val="3F334ADA"/>
    <w:rsid w:val="3F5675F4"/>
    <w:rsid w:val="3F5B7228"/>
    <w:rsid w:val="3F680422"/>
    <w:rsid w:val="3F6B3D2C"/>
    <w:rsid w:val="3F821A48"/>
    <w:rsid w:val="3F962587"/>
    <w:rsid w:val="3F974EDB"/>
    <w:rsid w:val="3FA36A9A"/>
    <w:rsid w:val="3FA71E6D"/>
    <w:rsid w:val="3FA77B66"/>
    <w:rsid w:val="3FC53100"/>
    <w:rsid w:val="3FEE48C6"/>
    <w:rsid w:val="3FF820F3"/>
    <w:rsid w:val="40094BF8"/>
    <w:rsid w:val="401126EC"/>
    <w:rsid w:val="403D1345"/>
    <w:rsid w:val="40582D76"/>
    <w:rsid w:val="406319DE"/>
    <w:rsid w:val="4064551B"/>
    <w:rsid w:val="40724465"/>
    <w:rsid w:val="407E552A"/>
    <w:rsid w:val="40AE055B"/>
    <w:rsid w:val="40C67074"/>
    <w:rsid w:val="40E07C0F"/>
    <w:rsid w:val="40F17074"/>
    <w:rsid w:val="41147F42"/>
    <w:rsid w:val="411755AB"/>
    <w:rsid w:val="414004A4"/>
    <w:rsid w:val="41454DB6"/>
    <w:rsid w:val="416042BB"/>
    <w:rsid w:val="41633413"/>
    <w:rsid w:val="41696E1F"/>
    <w:rsid w:val="416B081F"/>
    <w:rsid w:val="41723D7C"/>
    <w:rsid w:val="418253A9"/>
    <w:rsid w:val="418D4946"/>
    <w:rsid w:val="418F4669"/>
    <w:rsid w:val="419E7BF0"/>
    <w:rsid w:val="41BD5252"/>
    <w:rsid w:val="41E35BBA"/>
    <w:rsid w:val="42021AEF"/>
    <w:rsid w:val="42140778"/>
    <w:rsid w:val="42150BBA"/>
    <w:rsid w:val="423A582E"/>
    <w:rsid w:val="42554D1D"/>
    <w:rsid w:val="42583354"/>
    <w:rsid w:val="42685541"/>
    <w:rsid w:val="428B2F7E"/>
    <w:rsid w:val="42A64D22"/>
    <w:rsid w:val="42AB42BF"/>
    <w:rsid w:val="42C43EE6"/>
    <w:rsid w:val="42CE701B"/>
    <w:rsid w:val="42D85DB7"/>
    <w:rsid w:val="42E354EC"/>
    <w:rsid w:val="42E832DE"/>
    <w:rsid w:val="42FB7E7F"/>
    <w:rsid w:val="430C1D48"/>
    <w:rsid w:val="431E6AF3"/>
    <w:rsid w:val="43413B7B"/>
    <w:rsid w:val="43524555"/>
    <w:rsid w:val="43627FF5"/>
    <w:rsid w:val="43640F70"/>
    <w:rsid w:val="436A6A1E"/>
    <w:rsid w:val="436E51DA"/>
    <w:rsid w:val="4388349D"/>
    <w:rsid w:val="438A7147"/>
    <w:rsid w:val="43922D92"/>
    <w:rsid w:val="439C6947"/>
    <w:rsid w:val="43B440EE"/>
    <w:rsid w:val="43C94826"/>
    <w:rsid w:val="43DD2C11"/>
    <w:rsid w:val="43F34341"/>
    <w:rsid w:val="43FC3965"/>
    <w:rsid w:val="442723BC"/>
    <w:rsid w:val="4432125A"/>
    <w:rsid w:val="44511364"/>
    <w:rsid w:val="44516F3D"/>
    <w:rsid w:val="445C01E0"/>
    <w:rsid w:val="44762A61"/>
    <w:rsid w:val="44960266"/>
    <w:rsid w:val="44AB4AD4"/>
    <w:rsid w:val="44B1329D"/>
    <w:rsid w:val="44B66E8A"/>
    <w:rsid w:val="44C11BD7"/>
    <w:rsid w:val="44C70D28"/>
    <w:rsid w:val="44E3053F"/>
    <w:rsid w:val="44E46682"/>
    <w:rsid w:val="44EE3D02"/>
    <w:rsid w:val="452E1C3D"/>
    <w:rsid w:val="45496F5A"/>
    <w:rsid w:val="454E45B6"/>
    <w:rsid w:val="45694F1A"/>
    <w:rsid w:val="45785484"/>
    <w:rsid w:val="458E6E21"/>
    <w:rsid w:val="45941A86"/>
    <w:rsid w:val="45AE4E2C"/>
    <w:rsid w:val="45B02047"/>
    <w:rsid w:val="45CA2B79"/>
    <w:rsid w:val="45FC0C31"/>
    <w:rsid w:val="45FC70DB"/>
    <w:rsid w:val="461D4BCF"/>
    <w:rsid w:val="461F5BF5"/>
    <w:rsid w:val="46262D84"/>
    <w:rsid w:val="462C7DCA"/>
    <w:rsid w:val="4631154C"/>
    <w:rsid w:val="46355262"/>
    <w:rsid w:val="463665D1"/>
    <w:rsid w:val="463E0388"/>
    <w:rsid w:val="46406F6B"/>
    <w:rsid w:val="464D6F6F"/>
    <w:rsid w:val="465B524A"/>
    <w:rsid w:val="466B2963"/>
    <w:rsid w:val="466B51E7"/>
    <w:rsid w:val="466F234F"/>
    <w:rsid w:val="467A6E56"/>
    <w:rsid w:val="469626CC"/>
    <w:rsid w:val="46994237"/>
    <w:rsid w:val="46B64789"/>
    <w:rsid w:val="46CA3D8F"/>
    <w:rsid w:val="46D74DAB"/>
    <w:rsid w:val="46DE28A9"/>
    <w:rsid w:val="46DE7056"/>
    <w:rsid w:val="46EA47D4"/>
    <w:rsid w:val="46F31F04"/>
    <w:rsid w:val="46F90EF0"/>
    <w:rsid w:val="4703731B"/>
    <w:rsid w:val="471C5027"/>
    <w:rsid w:val="47234C01"/>
    <w:rsid w:val="473320A5"/>
    <w:rsid w:val="474661FE"/>
    <w:rsid w:val="475705C8"/>
    <w:rsid w:val="475A177E"/>
    <w:rsid w:val="475E2CBA"/>
    <w:rsid w:val="477E7DFD"/>
    <w:rsid w:val="478140BA"/>
    <w:rsid w:val="47B05089"/>
    <w:rsid w:val="47BF13AF"/>
    <w:rsid w:val="47CF5E61"/>
    <w:rsid w:val="48125321"/>
    <w:rsid w:val="482B6BD9"/>
    <w:rsid w:val="484736E0"/>
    <w:rsid w:val="484A4DD7"/>
    <w:rsid w:val="486208B9"/>
    <w:rsid w:val="4866784F"/>
    <w:rsid w:val="486D5484"/>
    <w:rsid w:val="486D572D"/>
    <w:rsid w:val="48705D8B"/>
    <w:rsid w:val="487648CB"/>
    <w:rsid w:val="48AE7199"/>
    <w:rsid w:val="48C34BB3"/>
    <w:rsid w:val="48D47BC2"/>
    <w:rsid w:val="48EA76B0"/>
    <w:rsid w:val="490D0C51"/>
    <w:rsid w:val="49436329"/>
    <w:rsid w:val="494E17F4"/>
    <w:rsid w:val="495521F8"/>
    <w:rsid w:val="496D0F3D"/>
    <w:rsid w:val="497C5E18"/>
    <w:rsid w:val="49815A51"/>
    <w:rsid w:val="49862C60"/>
    <w:rsid w:val="498D28B4"/>
    <w:rsid w:val="498F031D"/>
    <w:rsid w:val="499978B3"/>
    <w:rsid w:val="49B43FF2"/>
    <w:rsid w:val="49BE2DCD"/>
    <w:rsid w:val="49D41C4F"/>
    <w:rsid w:val="49E37D4C"/>
    <w:rsid w:val="49E60A50"/>
    <w:rsid w:val="49ED54E3"/>
    <w:rsid w:val="49FB01AB"/>
    <w:rsid w:val="49FC65A5"/>
    <w:rsid w:val="4A0111EF"/>
    <w:rsid w:val="4A0133A8"/>
    <w:rsid w:val="4A117380"/>
    <w:rsid w:val="4A24027C"/>
    <w:rsid w:val="4A243674"/>
    <w:rsid w:val="4A563F2C"/>
    <w:rsid w:val="4A5A7933"/>
    <w:rsid w:val="4A7416A0"/>
    <w:rsid w:val="4A8C270D"/>
    <w:rsid w:val="4A8D2C5C"/>
    <w:rsid w:val="4A9F2953"/>
    <w:rsid w:val="4AA0458F"/>
    <w:rsid w:val="4AA61ECF"/>
    <w:rsid w:val="4AA71A88"/>
    <w:rsid w:val="4AE6320C"/>
    <w:rsid w:val="4AF0638F"/>
    <w:rsid w:val="4AF85B33"/>
    <w:rsid w:val="4AFC16B3"/>
    <w:rsid w:val="4AFF25F5"/>
    <w:rsid w:val="4B25424E"/>
    <w:rsid w:val="4B722FF2"/>
    <w:rsid w:val="4B8D2D0F"/>
    <w:rsid w:val="4BA42C8A"/>
    <w:rsid w:val="4BA65EAC"/>
    <w:rsid w:val="4BB006E5"/>
    <w:rsid w:val="4BB059A0"/>
    <w:rsid w:val="4BB5717A"/>
    <w:rsid w:val="4BC402A7"/>
    <w:rsid w:val="4BF50EA7"/>
    <w:rsid w:val="4C030FCF"/>
    <w:rsid w:val="4C4A4856"/>
    <w:rsid w:val="4C5C7E48"/>
    <w:rsid w:val="4C641376"/>
    <w:rsid w:val="4C697C80"/>
    <w:rsid w:val="4C735236"/>
    <w:rsid w:val="4C8F0DE9"/>
    <w:rsid w:val="4CBD796F"/>
    <w:rsid w:val="4CC13489"/>
    <w:rsid w:val="4CC85671"/>
    <w:rsid w:val="4CD859E2"/>
    <w:rsid w:val="4CEC7724"/>
    <w:rsid w:val="4D00374B"/>
    <w:rsid w:val="4D0603A4"/>
    <w:rsid w:val="4D135E34"/>
    <w:rsid w:val="4D142D34"/>
    <w:rsid w:val="4D1824A8"/>
    <w:rsid w:val="4D2C0F5D"/>
    <w:rsid w:val="4D41297D"/>
    <w:rsid w:val="4D5071D3"/>
    <w:rsid w:val="4D5901E2"/>
    <w:rsid w:val="4D8D76CF"/>
    <w:rsid w:val="4D9952C2"/>
    <w:rsid w:val="4DA2126A"/>
    <w:rsid w:val="4DB12BD1"/>
    <w:rsid w:val="4DB53485"/>
    <w:rsid w:val="4DD331F5"/>
    <w:rsid w:val="4DD35729"/>
    <w:rsid w:val="4DD55A3D"/>
    <w:rsid w:val="4DF874CF"/>
    <w:rsid w:val="4E0849B8"/>
    <w:rsid w:val="4E2F1F4C"/>
    <w:rsid w:val="4E304569"/>
    <w:rsid w:val="4E4B3EE3"/>
    <w:rsid w:val="4E541901"/>
    <w:rsid w:val="4E7B669D"/>
    <w:rsid w:val="4E8648A2"/>
    <w:rsid w:val="4E8805E2"/>
    <w:rsid w:val="4EB44C13"/>
    <w:rsid w:val="4EBB5ABE"/>
    <w:rsid w:val="4EBC6108"/>
    <w:rsid w:val="4EBF7A92"/>
    <w:rsid w:val="4ED0337F"/>
    <w:rsid w:val="4ED103BA"/>
    <w:rsid w:val="4ED22487"/>
    <w:rsid w:val="4EEB5D5A"/>
    <w:rsid w:val="4F4375D4"/>
    <w:rsid w:val="4F525795"/>
    <w:rsid w:val="4F7B6807"/>
    <w:rsid w:val="4F8D18A5"/>
    <w:rsid w:val="4F93218E"/>
    <w:rsid w:val="4F947F5F"/>
    <w:rsid w:val="4FBD04F9"/>
    <w:rsid w:val="4FFB6F1B"/>
    <w:rsid w:val="501C3A50"/>
    <w:rsid w:val="501F5F82"/>
    <w:rsid w:val="502C6BFE"/>
    <w:rsid w:val="503D00A9"/>
    <w:rsid w:val="504D1837"/>
    <w:rsid w:val="505E18F4"/>
    <w:rsid w:val="50923C93"/>
    <w:rsid w:val="50B05068"/>
    <w:rsid w:val="50BB2C80"/>
    <w:rsid w:val="50BE3510"/>
    <w:rsid w:val="50E35899"/>
    <w:rsid w:val="51142518"/>
    <w:rsid w:val="51275108"/>
    <w:rsid w:val="512B37EA"/>
    <w:rsid w:val="512F2EA1"/>
    <w:rsid w:val="51627754"/>
    <w:rsid w:val="5165503A"/>
    <w:rsid w:val="517D233F"/>
    <w:rsid w:val="51B43DD3"/>
    <w:rsid w:val="51B5159F"/>
    <w:rsid w:val="51CC06EA"/>
    <w:rsid w:val="51D242ED"/>
    <w:rsid w:val="51E622CF"/>
    <w:rsid w:val="51EE2EEE"/>
    <w:rsid w:val="522F0757"/>
    <w:rsid w:val="525830F6"/>
    <w:rsid w:val="528503F7"/>
    <w:rsid w:val="528564ED"/>
    <w:rsid w:val="528D0D84"/>
    <w:rsid w:val="529B6CC3"/>
    <w:rsid w:val="529D3365"/>
    <w:rsid w:val="52B8207F"/>
    <w:rsid w:val="52BF53B3"/>
    <w:rsid w:val="52D60F11"/>
    <w:rsid w:val="52F70701"/>
    <w:rsid w:val="52FD3798"/>
    <w:rsid w:val="53036157"/>
    <w:rsid w:val="530A03E2"/>
    <w:rsid w:val="5329480D"/>
    <w:rsid w:val="533656B4"/>
    <w:rsid w:val="533A72D2"/>
    <w:rsid w:val="53466802"/>
    <w:rsid w:val="53514987"/>
    <w:rsid w:val="53673897"/>
    <w:rsid w:val="53700295"/>
    <w:rsid w:val="538B63E5"/>
    <w:rsid w:val="539C215C"/>
    <w:rsid w:val="539C376D"/>
    <w:rsid w:val="539E487F"/>
    <w:rsid w:val="53A22979"/>
    <w:rsid w:val="53A23BA8"/>
    <w:rsid w:val="53A45569"/>
    <w:rsid w:val="53B375E7"/>
    <w:rsid w:val="53B77D76"/>
    <w:rsid w:val="53C115A8"/>
    <w:rsid w:val="53DB0FFF"/>
    <w:rsid w:val="53EE5E3B"/>
    <w:rsid w:val="53F114BC"/>
    <w:rsid w:val="54005176"/>
    <w:rsid w:val="54134718"/>
    <w:rsid w:val="54135910"/>
    <w:rsid w:val="54174C88"/>
    <w:rsid w:val="54221E45"/>
    <w:rsid w:val="54360F93"/>
    <w:rsid w:val="544A7F72"/>
    <w:rsid w:val="5455288E"/>
    <w:rsid w:val="546623DE"/>
    <w:rsid w:val="548A534D"/>
    <w:rsid w:val="548C570A"/>
    <w:rsid w:val="54A51ED9"/>
    <w:rsid w:val="54B54A7D"/>
    <w:rsid w:val="54B97551"/>
    <w:rsid w:val="550148E2"/>
    <w:rsid w:val="5504547C"/>
    <w:rsid w:val="552D4396"/>
    <w:rsid w:val="553637B1"/>
    <w:rsid w:val="554B32C0"/>
    <w:rsid w:val="557F3544"/>
    <w:rsid w:val="559668DC"/>
    <w:rsid w:val="559E1872"/>
    <w:rsid w:val="55A450D5"/>
    <w:rsid w:val="55B9733C"/>
    <w:rsid w:val="55F26E27"/>
    <w:rsid w:val="55FC196F"/>
    <w:rsid w:val="56006BCE"/>
    <w:rsid w:val="561511E6"/>
    <w:rsid w:val="561D2A7D"/>
    <w:rsid w:val="56396761"/>
    <w:rsid w:val="563D31D5"/>
    <w:rsid w:val="564330AA"/>
    <w:rsid w:val="56625BDE"/>
    <w:rsid w:val="567E1876"/>
    <w:rsid w:val="56884B58"/>
    <w:rsid w:val="568C3ED9"/>
    <w:rsid w:val="56B323CF"/>
    <w:rsid w:val="56B70564"/>
    <w:rsid w:val="56B812EC"/>
    <w:rsid w:val="56B9541F"/>
    <w:rsid w:val="56BD2106"/>
    <w:rsid w:val="56CB4933"/>
    <w:rsid w:val="56DC4BE4"/>
    <w:rsid w:val="56F21F9C"/>
    <w:rsid w:val="573645D7"/>
    <w:rsid w:val="57661B56"/>
    <w:rsid w:val="576D5940"/>
    <w:rsid w:val="57785731"/>
    <w:rsid w:val="57813D40"/>
    <w:rsid w:val="578C014D"/>
    <w:rsid w:val="578E4FB0"/>
    <w:rsid w:val="57BD048A"/>
    <w:rsid w:val="57BE26AF"/>
    <w:rsid w:val="57C2629A"/>
    <w:rsid w:val="57D15132"/>
    <w:rsid w:val="57DD7A3B"/>
    <w:rsid w:val="57DF49A2"/>
    <w:rsid w:val="57ED47FC"/>
    <w:rsid w:val="586E01B4"/>
    <w:rsid w:val="58D630FB"/>
    <w:rsid w:val="58E5795A"/>
    <w:rsid w:val="58ED269C"/>
    <w:rsid w:val="5931524E"/>
    <w:rsid w:val="59341CE6"/>
    <w:rsid w:val="5934257F"/>
    <w:rsid w:val="59992F77"/>
    <w:rsid w:val="599A7B0A"/>
    <w:rsid w:val="59A51704"/>
    <w:rsid w:val="59A85A7E"/>
    <w:rsid w:val="59AA3BD4"/>
    <w:rsid w:val="59B755D4"/>
    <w:rsid w:val="59EB5ADD"/>
    <w:rsid w:val="59F075E5"/>
    <w:rsid w:val="59F77F45"/>
    <w:rsid w:val="59F826A9"/>
    <w:rsid w:val="5A045F5C"/>
    <w:rsid w:val="5A1328D5"/>
    <w:rsid w:val="5A141E5B"/>
    <w:rsid w:val="5A217199"/>
    <w:rsid w:val="5A3E6B03"/>
    <w:rsid w:val="5A414940"/>
    <w:rsid w:val="5A6F533B"/>
    <w:rsid w:val="5A7B0D86"/>
    <w:rsid w:val="5AAF0A61"/>
    <w:rsid w:val="5AC17F98"/>
    <w:rsid w:val="5ACF6253"/>
    <w:rsid w:val="5AE57388"/>
    <w:rsid w:val="5AF13958"/>
    <w:rsid w:val="5B0071ED"/>
    <w:rsid w:val="5B0A7340"/>
    <w:rsid w:val="5B0D3010"/>
    <w:rsid w:val="5B225E1B"/>
    <w:rsid w:val="5B4A6794"/>
    <w:rsid w:val="5B6834E5"/>
    <w:rsid w:val="5B7414DA"/>
    <w:rsid w:val="5B7454F8"/>
    <w:rsid w:val="5B784A97"/>
    <w:rsid w:val="5B7A2602"/>
    <w:rsid w:val="5B8D23C3"/>
    <w:rsid w:val="5B8F3986"/>
    <w:rsid w:val="5BA07A57"/>
    <w:rsid w:val="5BC35070"/>
    <w:rsid w:val="5BD33963"/>
    <w:rsid w:val="5C0A15A7"/>
    <w:rsid w:val="5C492DDE"/>
    <w:rsid w:val="5C4D7EF3"/>
    <w:rsid w:val="5C5177A8"/>
    <w:rsid w:val="5C5418D4"/>
    <w:rsid w:val="5C5960FA"/>
    <w:rsid w:val="5C6B5052"/>
    <w:rsid w:val="5C725E3D"/>
    <w:rsid w:val="5C7976E7"/>
    <w:rsid w:val="5CD55AB1"/>
    <w:rsid w:val="5CDF4ED0"/>
    <w:rsid w:val="5CEB7FBD"/>
    <w:rsid w:val="5CF50E41"/>
    <w:rsid w:val="5D1253A4"/>
    <w:rsid w:val="5D275CC8"/>
    <w:rsid w:val="5D2E0784"/>
    <w:rsid w:val="5D421DC8"/>
    <w:rsid w:val="5D464AF1"/>
    <w:rsid w:val="5D6D3706"/>
    <w:rsid w:val="5D7415AC"/>
    <w:rsid w:val="5D7A773F"/>
    <w:rsid w:val="5D7D6D2A"/>
    <w:rsid w:val="5D875E43"/>
    <w:rsid w:val="5D8A7300"/>
    <w:rsid w:val="5DC03C97"/>
    <w:rsid w:val="5DD7525E"/>
    <w:rsid w:val="5E051A40"/>
    <w:rsid w:val="5E0E0783"/>
    <w:rsid w:val="5E0F6CCA"/>
    <w:rsid w:val="5E3848D8"/>
    <w:rsid w:val="5E3C3022"/>
    <w:rsid w:val="5E3F2CE9"/>
    <w:rsid w:val="5E5F0582"/>
    <w:rsid w:val="5E6B178A"/>
    <w:rsid w:val="5E766AAF"/>
    <w:rsid w:val="5E7722A1"/>
    <w:rsid w:val="5E921021"/>
    <w:rsid w:val="5EBD226B"/>
    <w:rsid w:val="5EC327AB"/>
    <w:rsid w:val="5EC82A50"/>
    <w:rsid w:val="5EE35436"/>
    <w:rsid w:val="5EF53D33"/>
    <w:rsid w:val="5EF9246B"/>
    <w:rsid w:val="5F097405"/>
    <w:rsid w:val="5F217812"/>
    <w:rsid w:val="5F37767B"/>
    <w:rsid w:val="5F536842"/>
    <w:rsid w:val="5F7E3D3A"/>
    <w:rsid w:val="5F8065F5"/>
    <w:rsid w:val="5F89637E"/>
    <w:rsid w:val="5F8D788E"/>
    <w:rsid w:val="5FA10660"/>
    <w:rsid w:val="5FA136CD"/>
    <w:rsid w:val="5FBA49D4"/>
    <w:rsid w:val="5FC16BAF"/>
    <w:rsid w:val="5FC16C8E"/>
    <w:rsid w:val="5FC35A8A"/>
    <w:rsid w:val="5FDC529C"/>
    <w:rsid w:val="5FF833CE"/>
    <w:rsid w:val="600F0DB4"/>
    <w:rsid w:val="601D1F8F"/>
    <w:rsid w:val="60287AF6"/>
    <w:rsid w:val="602E7E5B"/>
    <w:rsid w:val="6031791B"/>
    <w:rsid w:val="60565C4E"/>
    <w:rsid w:val="60933164"/>
    <w:rsid w:val="60D42F2C"/>
    <w:rsid w:val="60E604E6"/>
    <w:rsid w:val="61246385"/>
    <w:rsid w:val="612C45CE"/>
    <w:rsid w:val="61367A4A"/>
    <w:rsid w:val="618101E3"/>
    <w:rsid w:val="61B81B60"/>
    <w:rsid w:val="61BA213D"/>
    <w:rsid w:val="61F40326"/>
    <w:rsid w:val="620F7CB9"/>
    <w:rsid w:val="6223625E"/>
    <w:rsid w:val="625546A1"/>
    <w:rsid w:val="625B1A08"/>
    <w:rsid w:val="62611DB2"/>
    <w:rsid w:val="626242AF"/>
    <w:rsid w:val="627073DF"/>
    <w:rsid w:val="6286232A"/>
    <w:rsid w:val="62901E79"/>
    <w:rsid w:val="62AA7397"/>
    <w:rsid w:val="62B962CE"/>
    <w:rsid w:val="62D83687"/>
    <w:rsid w:val="62EA38CD"/>
    <w:rsid w:val="62FF058C"/>
    <w:rsid w:val="63063093"/>
    <w:rsid w:val="633046DB"/>
    <w:rsid w:val="634458A7"/>
    <w:rsid w:val="635E63B1"/>
    <w:rsid w:val="637F121C"/>
    <w:rsid w:val="63916850"/>
    <w:rsid w:val="639A4E48"/>
    <w:rsid w:val="63AA6AED"/>
    <w:rsid w:val="63AB111F"/>
    <w:rsid w:val="63B40033"/>
    <w:rsid w:val="63EB40F2"/>
    <w:rsid w:val="63EC25C0"/>
    <w:rsid w:val="63F05C53"/>
    <w:rsid w:val="640319AA"/>
    <w:rsid w:val="64161F60"/>
    <w:rsid w:val="64347D8F"/>
    <w:rsid w:val="644E3BF2"/>
    <w:rsid w:val="64565585"/>
    <w:rsid w:val="645A2DCE"/>
    <w:rsid w:val="646B2DA9"/>
    <w:rsid w:val="64837315"/>
    <w:rsid w:val="649E593B"/>
    <w:rsid w:val="64A86891"/>
    <w:rsid w:val="64AB20F7"/>
    <w:rsid w:val="64D82C05"/>
    <w:rsid w:val="64E71214"/>
    <w:rsid w:val="64F774CD"/>
    <w:rsid w:val="65261342"/>
    <w:rsid w:val="652B0C59"/>
    <w:rsid w:val="653B64B9"/>
    <w:rsid w:val="655A1669"/>
    <w:rsid w:val="6560136A"/>
    <w:rsid w:val="65664C5A"/>
    <w:rsid w:val="657232B5"/>
    <w:rsid w:val="658A7925"/>
    <w:rsid w:val="65934DB6"/>
    <w:rsid w:val="659A1C23"/>
    <w:rsid w:val="65A717A3"/>
    <w:rsid w:val="65AB173D"/>
    <w:rsid w:val="65C569A4"/>
    <w:rsid w:val="65DB0F20"/>
    <w:rsid w:val="65E67B9A"/>
    <w:rsid w:val="65FF2DAC"/>
    <w:rsid w:val="660420CA"/>
    <w:rsid w:val="66355A97"/>
    <w:rsid w:val="6648413E"/>
    <w:rsid w:val="66590D2D"/>
    <w:rsid w:val="665E5500"/>
    <w:rsid w:val="666D0CE1"/>
    <w:rsid w:val="669C2EA8"/>
    <w:rsid w:val="66A15A9D"/>
    <w:rsid w:val="66B34051"/>
    <w:rsid w:val="66CF5A16"/>
    <w:rsid w:val="66F43D4A"/>
    <w:rsid w:val="673B5505"/>
    <w:rsid w:val="675969A6"/>
    <w:rsid w:val="67616FAD"/>
    <w:rsid w:val="676C4FC5"/>
    <w:rsid w:val="676E26D4"/>
    <w:rsid w:val="677649CD"/>
    <w:rsid w:val="677A19D6"/>
    <w:rsid w:val="67987E28"/>
    <w:rsid w:val="679B75D8"/>
    <w:rsid w:val="67B50A2C"/>
    <w:rsid w:val="67C01E36"/>
    <w:rsid w:val="67C803A8"/>
    <w:rsid w:val="67DE04F8"/>
    <w:rsid w:val="67F4640E"/>
    <w:rsid w:val="67F46E9F"/>
    <w:rsid w:val="681D631E"/>
    <w:rsid w:val="681E2A29"/>
    <w:rsid w:val="6824547D"/>
    <w:rsid w:val="68292578"/>
    <w:rsid w:val="684319FE"/>
    <w:rsid w:val="68511E42"/>
    <w:rsid w:val="686C5A72"/>
    <w:rsid w:val="6881690C"/>
    <w:rsid w:val="68927A66"/>
    <w:rsid w:val="689C25FF"/>
    <w:rsid w:val="68A57C57"/>
    <w:rsid w:val="68AC7696"/>
    <w:rsid w:val="68CC3D9E"/>
    <w:rsid w:val="68F2196E"/>
    <w:rsid w:val="68F95385"/>
    <w:rsid w:val="69092152"/>
    <w:rsid w:val="69120C4E"/>
    <w:rsid w:val="691C17CD"/>
    <w:rsid w:val="691C4585"/>
    <w:rsid w:val="69231B0C"/>
    <w:rsid w:val="69422EE0"/>
    <w:rsid w:val="6950151D"/>
    <w:rsid w:val="695A4890"/>
    <w:rsid w:val="69797C2C"/>
    <w:rsid w:val="699D66A3"/>
    <w:rsid w:val="69D009DD"/>
    <w:rsid w:val="69DB6D68"/>
    <w:rsid w:val="69E22D0E"/>
    <w:rsid w:val="69E505FB"/>
    <w:rsid w:val="6A151613"/>
    <w:rsid w:val="6A5F27C6"/>
    <w:rsid w:val="6AAB1FFE"/>
    <w:rsid w:val="6AAB7931"/>
    <w:rsid w:val="6AD514FD"/>
    <w:rsid w:val="6B047C64"/>
    <w:rsid w:val="6B337C49"/>
    <w:rsid w:val="6B53760B"/>
    <w:rsid w:val="6B5851D6"/>
    <w:rsid w:val="6B657CB8"/>
    <w:rsid w:val="6B7231A0"/>
    <w:rsid w:val="6B746778"/>
    <w:rsid w:val="6B764D4B"/>
    <w:rsid w:val="6B772420"/>
    <w:rsid w:val="6BCD4485"/>
    <w:rsid w:val="6BFC5A9A"/>
    <w:rsid w:val="6C001B2C"/>
    <w:rsid w:val="6C144697"/>
    <w:rsid w:val="6C1A2C14"/>
    <w:rsid w:val="6C1E4EC4"/>
    <w:rsid w:val="6C210515"/>
    <w:rsid w:val="6C337889"/>
    <w:rsid w:val="6C357A74"/>
    <w:rsid w:val="6C4920B2"/>
    <w:rsid w:val="6C72269C"/>
    <w:rsid w:val="6C972779"/>
    <w:rsid w:val="6C9B2A9C"/>
    <w:rsid w:val="6C9F2E19"/>
    <w:rsid w:val="6CD527D6"/>
    <w:rsid w:val="6CF71D7B"/>
    <w:rsid w:val="6CF73DD1"/>
    <w:rsid w:val="6CFC2A23"/>
    <w:rsid w:val="6D0B0145"/>
    <w:rsid w:val="6D304E75"/>
    <w:rsid w:val="6D3B1836"/>
    <w:rsid w:val="6D3F18FA"/>
    <w:rsid w:val="6D504B6C"/>
    <w:rsid w:val="6D506C3D"/>
    <w:rsid w:val="6D5348B8"/>
    <w:rsid w:val="6D585A4E"/>
    <w:rsid w:val="6D6D23E0"/>
    <w:rsid w:val="6D8F32E2"/>
    <w:rsid w:val="6D990439"/>
    <w:rsid w:val="6D9C0386"/>
    <w:rsid w:val="6DDB5525"/>
    <w:rsid w:val="6DE50A4F"/>
    <w:rsid w:val="6DE57BBE"/>
    <w:rsid w:val="6DE91AC4"/>
    <w:rsid w:val="6DF754E0"/>
    <w:rsid w:val="6DFF137D"/>
    <w:rsid w:val="6E082721"/>
    <w:rsid w:val="6E2C0D10"/>
    <w:rsid w:val="6E2F1EA6"/>
    <w:rsid w:val="6E354B30"/>
    <w:rsid w:val="6E360559"/>
    <w:rsid w:val="6E5137C9"/>
    <w:rsid w:val="6E6E6C00"/>
    <w:rsid w:val="6E76413D"/>
    <w:rsid w:val="6E812F68"/>
    <w:rsid w:val="6E8135FF"/>
    <w:rsid w:val="6E8B6899"/>
    <w:rsid w:val="6EE05154"/>
    <w:rsid w:val="6F2E0EED"/>
    <w:rsid w:val="6F3478BB"/>
    <w:rsid w:val="6F6716D3"/>
    <w:rsid w:val="6F6C0E42"/>
    <w:rsid w:val="6F764C07"/>
    <w:rsid w:val="6F7C3F56"/>
    <w:rsid w:val="6FC170B5"/>
    <w:rsid w:val="6FC66ECC"/>
    <w:rsid w:val="6FF33BC0"/>
    <w:rsid w:val="6FFF274E"/>
    <w:rsid w:val="700249D6"/>
    <w:rsid w:val="70232BE2"/>
    <w:rsid w:val="702860E7"/>
    <w:rsid w:val="703461AB"/>
    <w:rsid w:val="70372650"/>
    <w:rsid w:val="70400D63"/>
    <w:rsid w:val="70414EEF"/>
    <w:rsid w:val="705A1486"/>
    <w:rsid w:val="70793DE4"/>
    <w:rsid w:val="707F0897"/>
    <w:rsid w:val="708D2431"/>
    <w:rsid w:val="70A0456C"/>
    <w:rsid w:val="70B37ABB"/>
    <w:rsid w:val="70BE43E2"/>
    <w:rsid w:val="70DA7694"/>
    <w:rsid w:val="70F54693"/>
    <w:rsid w:val="70FA6866"/>
    <w:rsid w:val="7103592E"/>
    <w:rsid w:val="71052A55"/>
    <w:rsid w:val="711C08E7"/>
    <w:rsid w:val="71225E00"/>
    <w:rsid w:val="712629B7"/>
    <w:rsid w:val="71365F8B"/>
    <w:rsid w:val="716D04E4"/>
    <w:rsid w:val="7198126E"/>
    <w:rsid w:val="71A7421A"/>
    <w:rsid w:val="71B70F25"/>
    <w:rsid w:val="71BB72B9"/>
    <w:rsid w:val="720B24BD"/>
    <w:rsid w:val="72110AF2"/>
    <w:rsid w:val="721F1A17"/>
    <w:rsid w:val="7228423B"/>
    <w:rsid w:val="722E2831"/>
    <w:rsid w:val="72552DBD"/>
    <w:rsid w:val="726B0FA3"/>
    <w:rsid w:val="72756630"/>
    <w:rsid w:val="72952638"/>
    <w:rsid w:val="72A215A0"/>
    <w:rsid w:val="72B130F2"/>
    <w:rsid w:val="72F31532"/>
    <w:rsid w:val="72F93C37"/>
    <w:rsid w:val="73037DAD"/>
    <w:rsid w:val="731E3876"/>
    <w:rsid w:val="73303038"/>
    <w:rsid w:val="7336321E"/>
    <w:rsid w:val="734C6764"/>
    <w:rsid w:val="737D0ED5"/>
    <w:rsid w:val="737F549A"/>
    <w:rsid w:val="738946F3"/>
    <w:rsid w:val="738F76C2"/>
    <w:rsid w:val="739B2381"/>
    <w:rsid w:val="73B20AA4"/>
    <w:rsid w:val="73B464B8"/>
    <w:rsid w:val="73D42C49"/>
    <w:rsid w:val="73D63F10"/>
    <w:rsid w:val="73D858E3"/>
    <w:rsid w:val="73E37406"/>
    <w:rsid w:val="73FB52C5"/>
    <w:rsid w:val="73FE55A5"/>
    <w:rsid w:val="74087E9E"/>
    <w:rsid w:val="740D4CB8"/>
    <w:rsid w:val="741503E9"/>
    <w:rsid w:val="74265823"/>
    <w:rsid w:val="745851F8"/>
    <w:rsid w:val="745D0A4B"/>
    <w:rsid w:val="746B70A4"/>
    <w:rsid w:val="746C57AC"/>
    <w:rsid w:val="74B5229A"/>
    <w:rsid w:val="74E2227D"/>
    <w:rsid w:val="74FA0379"/>
    <w:rsid w:val="75142631"/>
    <w:rsid w:val="751E6081"/>
    <w:rsid w:val="753224A5"/>
    <w:rsid w:val="754E1294"/>
    <w:rsid w:val="756B2C4C"/>
    <w:rsid w:val="75734CAC"/>
    <w:rsid w:val="75A651FC"/>
    <w:rsid w:val="75B675BF"/>
    <w:rsid w:val="75D27928"/>
    <w:rsid w:val="75EA5325"/>
    <w:rsid w:val="75F51208"/>
    <w:rsid w:val="760152A1"/>
    <w:rsid w:val="76113149"/>
    <w:rsid w:val="7634513C"/>
    <w:rsid w:val="764C4657"/>
    <w:rsid w:val="76536B52"/>
    <w:rsid w:val="765A11E5"/>
    <w:rsid w:val="76696DDC"/>
    <w:rsid w:val="768B1C93"/>
    <w:rsid w:val="769105D2"/>
    <w:rsid w:val="76916556"/>
    <w:rsid w:val="76A145B1"/>
    <w:rsid w:val="76A41437"/>
    <w:rsid w:val="76A97992"/>
    <w:rsid w:val="76C347C9"/>
    <w:rsid w:val="76C8106A"/>
    <w:rsid w:val="76C87F7E"/>
    <w:rsid w:val="76D44188"/>
    <w:rsid w:val="76FF4234"/>
    <w:rsid w:val="77267215"/>
    <w:rsid w:val="772C5CB8"/>
    <w:rsid w:val="774C2FD4"/>
    <w:rsid w:val="77920CAC"/>
    <w:rsid w:val="779608B1"/>
    <w:rsid w:val="77BB317F"/>
    <w:rsid w:val="77D646B3"/>
    <w:rsid w:val="77E64A52"/>
    <w:rsid w:val="77FD2D80"/>
    <w:rsid w:val="781C4EEF"/>
    <w:rsid w:val="781C6C86"/>
    <w:rsid w:val="783E1BE4"/>
    <w:rsid w:val="784549C8"/>
    <w:rsid w:val="78520B14"/>
    <w:rsid w:val="7854746F"/>
    <w:rsid w:val="788146C9"/>
    <w:rsid w:val="78862AA4"/>
    <w:rsid w:val="788E6731"/>
    <w:rsid w:val="78904CBD"/>
    <w:rsid w:val="78957033"/>
    <w:rsid w:val="789E65DE"/>
    <w:rsid w:val="78AE643A"/>
    <w:rsid w:val="78D91C96"/>
    <w:rsid w:val="78DE4DD2"/>
    <w:rsid w:val="790902D2"/>
    <w:rsid w:val="791403C6"/>
    <w:rsid w:val="791430B9"/>
    <w:rsid w:val="7919747D"/>
    <w:rsid w:val="791B1C83"/>
    <w:rsid w:val="793F36FA"/>
    <w:rsid w:val="795E52A8"/>
    <w:rsid w:val="797207DB"/>
    <w:rsid w:val="7992605B"/>
    <w:rsid w:val="799A31CF"/>
    <w:rsid w:val="79BD4C39"/>
    <w:rsid w:val="79C43E58"/>
    <w:rsid w:val="79C66CE5"/>
    <w:rsid w:val="79F56560"/>
    <w:rsid w:val="7A066D60"/>
    <w:rsid w:val="7A067274"/>
    <w:rsid w:val="7A262840"/>
    <w:rsid w:val="7A3E1E86"/>
    <w:rsid w:val="7A6B4F43"/>
    <w:rsid w:val="7A6B6AF1"/>
    <w:rsid w:val="7A6F7E38"/>
    <w:rsid w:val="7A8F7EEB"/>
    <w:rsid w:val="7A9932D3"/>
    <w:rsid w:val="7AA717B8"/>
    <w:rsid w:val="7ABE03DC"/>
    <w:rsid w:val="7AE77CFC"/>
    <w:rsid w:val="7AF01AA6"/>
    <w:rsid w:val="7AF97888"/>
    <w:rsid w:val="7AFC3E59"/>
    <w:rsid w:val="7AFC56D0"/>
    <w:rsid w:val="7B0B6FF2"/>
    <w:rsid w:val="7B385ABF"/>
    <w:rsid w:val="7B445F94"/>
    <w:rsid w:val="7B611CB5"/>
    <w:rsid w:val="7B8C7083"/>
    <w:rsid w:val="7B8F138F"/>
    <w:rsid w:val="7B914877"/>
    <w:rsid w:val="7B916F71"/>
    <w:rsid w:val="7B991033"/>
    <w:rsid w:val="7BBC2C7D"/>
    <w:rsid w:val="7BC471A2"/>
    <w:rsid w:val="7BE4557D"/>
    <w:rsid w:val="7C0D7F8A"/>
    <w:rsid w:val="7C122CFA"/>
    <w:rsid w:val="7C1E1273"/>
    <w:rsid w:val="7C254C59"/>
    <w:rsid w:val="7C3640D5"/>
    <w:rsid w:val="7C596CAD"/>
    <w:rsid w:val="7C5D03E3"/>
    <w:rsid w:val="7C6A625F"/>
    <w:rsid w:val="7C8D7DB6"/>
    <w:rsid w:val="7CBD6B87"/>
    <w:rsid w:val="7CE249F2"/>
    <w:rsid w:val="7CF17DE1"/>
    <w:rsid w:val="7D2E0078"/>
    <w:rsid w:val="7D3550B2"/>
    <w:rsid w:val="7D4A3696"/>
    <w:rsid w:val="7D7D2832"/>
    <w:rsid w:val="7D8C05E9"/>
    <w:rsid w:val="7D94273B"/>
    <w:rsid w:val="7DAD0A8D"/>
    <w:rsid w:val="7DB51D20"/>
    <w:rsid w:val="7DC0720D"/>
    <w:rsid w:val="7DC57C3C"/>
    <w:rsid w:val="7DC66901"/>
    <w:rsid w:val="7DCF2E20"/>
    <w:rsid w:val="7DF622E7"/>
    <w:rsid w:val="7E0E7161"/>
    <w:rsid w:val="7E135004"/>
    <w:rsid w:val="7E1C08DF"/>
    <w:rsid w:val="7E260F64"/>
    <w:rsid w:val="7E390E9C"/>
    <w:rsid w:val="7E5C5A2E"/>
    <w:rsid w:val="7EBE0B74"/>
    <w:rsid w:val="7EC141E6"/>
    <w:rsid w:val="7EC67582"/>
    <w:rsid w:val="7EC918E9"/>
    <w:rsid w:val="7ED31EC3"/>
    <w:rsid w:val="7EDF6ECA"/>
    <w:rsid w:val="7EFC3EE0"/>
    <w:rsid w:val="7F0333BC"/>
    <w:rsid w:val="7F3866A9"/>
    <w:rsid w:val="7F4679A3"/>
    <w:rsid w:val="7F507D30"/>
    <w:rsid w:val="7F685D4E"/>
    <w:rsid w:val="7F7D483D"/>
    <w:rsid w:val="7F7D5A9F"/>
    <w:rsid w:val="7F951E5C"/>
    <w:rsid w:val="7FA93ADF"/>
    <w:rsid w:val="7FAB6391"/>
    <w:rsid w:val="7FCF1F18"/>
    <w:rsid w:val="7FFF4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3"/>
    <w:qFormat/>
    <w:uiPriority w:val="0"/>
    <w:pPr>
      <w:numPr>
        <w:ilvl w:val="2"/>
        <w:numId w:val="1"/>
      </w:numPr>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5"/>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7">
    <w:name w:val="Default Paragraph Font"/>
    <w:semiHidden/>
    <w:unhideWhenUsed/>
    <w:qFormat/>
    <w:uiPriority w:val="1"/>
  </w:style>
  <w:style w:type="table" w:default="1" w:styleId="6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3"/>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7"/>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91"/>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8"/>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4"/>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eastAsia="宋体" w:cs="宋体"/>
      <w:sz w:val="24"/>
      <w:szCs w:val="24"/>
      <w:lang w:eastAsia="zh-CN"/>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character" w:styleId="58">
    <w:name w:val="Strong"/>
    <w:basedOn w:val="57"/>
    <w:qFormat/>
    <w:uiPriority w:val="22"/>
    <w:rPr>
      <w:b/>
    </w:rPr>
  </w:style>
  <w:style w:type="character" w:styleId="59">
    <w:name w:val="endnote reference"/>
    <w:basedOn w:val="57"/>
    <w:qFormat/>
    <w:uiPriority w:val="0"/>
    <w:rPr>
      <w:vertAlign w:val="superscript"/>
    </w:rPr>
  </w:style>
  <w:style w:type="character" w:styleId="60">
    <w:name w:val="page number"/>
    <w:basedOn w:val="57"/>
    <w:qFormat/>
    <w:uiPriority w:val="0"/>
  </w:style>
  <w:style w:type="character" w:styleId="61">
    <w:name w:val="FollowedHyperlink"/>
    <w:basedOn w:val="57"/>
    <w:qFormat/>
    <w:uiPriority w:val="0"/>
    <w:rPr>
      <w:color w:val="800080"/>
      <w:u w:val="single"/>
    </w:rPr>
  </w:style>
  <w:style w:type="character" w:styleId="62">
    <w:name w:val="Emphasis"/>
    <w:qFormat/>
    <w:uiPriority w:val="0"/>
    <w:rPr>
      <w:i/>
      <w:iCs/>
    </w:rPr>
  </w:style>
  <w:style w:type="character" w:styleId="63">
    <w:name w:val="Hyperlink"/>
    <w:basedOn w:val="57"/>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7"/>
    <w:qFormat/>
    <w:uiPriority w:val="0"/>
    <w:rPr>
      <w:vertAlign w:val="superscript"/>
    </w:rPr>
  </w:style>
  <w:style w:type="table" w:styleId="67">
    <w:name w:val="Table Grid"/>
    <w:basedOn w:val="6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8">
    <w:name w:val="Balloon Text Char"/>
    <w:basedOn w:val="57"/>
    <w:link w:val="37"/>
    <w:qFormat/>
    <w:uiPriority w:val="0"/>
    <w:rPr>
      <w:kern w:val="2"/>
      <w:sz w:val="18"/>
      <w:szCs w:val="18"/>
    </w:rPr>
  </w:style>
  <w:style w:type="paragraph" w:customStyle="1" w:styleId="69">
    <w:name w:val="List Paragraph1"/>
    <w:basedOn w:val="1"/>
    <w:link w:val="274"/>
    <w:unhideWhenUsed/>
    <w:qFormat/>
    <w:uiPriority w:val="99"/>
    <w:pPr>
      <w:ind w:firstLine="420" w:firstLineChars="200"/>
    </w:pPr>
  </w:style>
  <w:style w:type="character" w:customStyle="1" w:styleId="70">
    <w:name w:val="Document Map Char"/>
    <w:basedOn w:val="57"/>
    <w:link w:val="26"/>
    <w:qFormat/>
    <w:uiPriority w:val="0"/>
    <w:rPr>
      <w:rFonts w:ascii="宋体"/>
      <w:kern w:val="2"/>
      <w:sz w:val="18"/>
      <w:szCs w:val="18"/>
    </w:rPr>
  </w:style>
  <w:style w:type="character" w:customStyle="1" w:styleId="71">
    <w:name w:val="Heading 1 Char"/>
    <w:basedOn w:val="57"/>
    <w:link w:val="2"/>
    <w:qFormat/>
    <w:uiPriority w:val="0"/>
    <w:rPr>
      <w:b/>
      <w:bCs/>
      <w:kern w:val="44"/>
      <w:sz w:val="44"/>
      <w:szCs w:val="44"/>
    </w:rPr>
  </w:style>
  <w:style w:type="character" w:customStyle="1" w:styleId="72">
    <w:name w:val="Heading 2 Char"/>
    <w:basedOn w:val="57"/>
    <w:link w:val="3"/>
    <w:qFormat/>
    <w:uiPriority w:val="0"/>
    <w:rPr>
      <w:rFonts w:ascii="Arial" w:hAnsi="Arial" w:eastAsia="MS Mincho"/>
      <w:sz w:val="32"/>
      <w:szCs w:val="32"/>
      <w:lang w:val="en-GB"/>
    </w:rPr>
  </w:style>
  <w:style w:type="character" w:customStyle="1" w:styleId="73">
    <w:name w:val="Heading 3 Char"/>
    <w:basedOn w:val="57"/>
    <w:link w:val="4"/>
    <w:qFormat/>
    <w:uiPriority w:val="0"/>
    <w:rPr>
      <w:b/>
      <w:bCs/>
      <w:kern w:val="2"/>
      <w:sz w:val="32"/>
      <w:szCs w:val="32"/>
    </w:rPr>
  </w:style>
  <w:style w:type="character" w:customStyle="1" w:styleId="74">
    <w:name w:val="Heading 4 Char"/>
    <w:basedOn w:val="57"/>
    <w:link w:val="5"/>
    <w:qFormat/>
    <w:uiPriority w:val="0"/>
    <w:rPr>
      <w:rFonts w:ascii="Arial" w:hAnsi="Arial" w:eastAsia="黑体"/>
      <w:b/>
      <w:kern w:val="2"/>
      <w:sz w:val="28"/>
      <w:szCs w:val="24"/>
    </w:rPr>
  </w:style>
  <w:style w:type="character" w:customStyle="1" w:styleId="75">
    <w:name w:val="Heading 5 Char"/>
    <w:basedOn w:val="57"/>
    <w:link w:val="6"/>
    <w:qFormat/>
    <w:uiPriority w:val="0"/>
    <w:rPr>
      <w:b/>
      <w:kern w:val="2"/>
      <w:sz w:val="28"/>
      <w:szCs w:val="24"/>
    </w:rPr>
  </w:style>
  <w:style w:type="character" w:customStyle="1" w:styleId="76">
    <w:name w:val="Heading 6 Char"/>
    <w:basedOn w:val="57"/>
    <w:link w:val="7"/>
    <w:qFormat/>
    <w:uiPriority w:val="0"/>
    <w:rPr>
      <w:rFonts w:ascii="Arial" w:hAnsi="Arial" w:eastAsia="黑体"/>
      <w:b/>
      <w:kern w:val="2"/>
      <w:sz w:val="24"/>
      <w:szCs w:val="24"/>
    </w:rPr>
  </w:style>
  <w:style w:type="character" w:customStyle="1" w:styleId="77">
    <w:name w:val="Heading 7 Char"/>
    <w:basedOn w:val="57"/>
    <w:link w:val="8"/>
    <w:qFormat/>
    <w:uiPriority w:val="0"/>
    <w:rPr>
      <w:b/>
      <w:kern w:val="2"/>
      <w:sz w:val="24"/>
      <w:szCs w:val="24"/>
    </w:rPr>
  </w:style>
  <w:style w:type="character" w:customStyle="1" w:styleId="78">
    <w:name w:val="Heading 8 Char"/>
    <w:basedOn w:val="57"/>
    <w:link w:val="9"/>
    <w:qFormat/>
    <w:uiPriority w:val="0"/>
    <w:rPr>
      <w:rFonts w:ascii="Arial" w:hAnsi="Arial" w:eastAsia="黑体"/>
      <w:kern w:val="2"/>
      <w:sz w:val="24"/>
      <w:szCs w:val="24"/>
    </w:rPr>
  </w:style>
  <w:style w:type="character" w:customStyle="1" w:styleId="79">
    <w:name w:val="Heading 9 Char"/>
    <w:basedOn w:val="57"/>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8">
    <w:name w:val="Doc-title"/>
    <w:basedOn w:val="1"/>
    <w:next w:val="84"/>
    <w:link w:val="112"/>
    <w:qFormat/>
    <w:uiPriority w:val="0"/>
    <w:pPr>
      <w:widowControl/>
      <w:ind w:left="1260" w:hanging="1260"/>
      <w:jc w:val="left"/>
    </w:pPr>
    <w:rPr>
      <w:rFonts w:ascii="Arial" w:hAnsi="Arial" w:eastAsia="MS Mincho"/>
      <w:kern w:val="0"/>
      <w:sz w:val="20"/>
      <w:lang w:val="en-GB" w:eastAsia="en-GB"/>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1">
    <w:name w:val="Caption Char"/>
    <w:link w:val="24"/>
    <w:qFormat/>
    <w:uiPriority w:val="99"/>
    <w:rPr>
      <w:rFonts w:ascii="Arial" w:hAnsi="Arial" w:eastAsia="黑体" w:cs="Arial"/>
      <w:kern w:val="2"/>
    </w:rPr>
  </w:style>
  <w:style w:type="character" w:customStyle="1" w:styleId="92">
    <w:name w:val="标题 3 Char Char"/>
    <w:basedOn w:val="57"/>
    <w:qFormat/>
    <w:uiPriority w:val="0"/>
    <w:rPr>
      <w:b/>
      <w:bCs/>
      <w:kern w:val="2"/>
      <w:sz w:val="32"/>
      <w:szCs w:val="32"/>
    </w:rPr>
  </w:style>
  <w:style w:type="character" w:customStyle="1" w:styleId="93">
    <w:name w:val="Comment Subject Char"/>
    <w:basedOn w:val="94"/>
    <w:link w:val="14"/>
    <w:semiHidden/>
    <w:qFormat/>
    <w:uiPriority w:val="0"/>
    <w:rPr>
      <w:rFonts w:ascii="Arial" w:hAnsi="Arial" w:eastAsia="MS Mincho"/>
      <w:b/>
      <w:bCs/>
      <w:lang w:val="en-GB" w:eastAsia="en-GB"/>
    </w:rPr>
  </w:style>
  <w:style w:type="character" w:customStyle="1" w:styleId="94">
    <w:name w:val="批注文字 Char"/>
    <w:basedOn w:val="57"/>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3"/>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ascii="Arial" w:hAnsi="Arial" w:eastAsia="MS Mincho"/>
      <w:i/>
      <w:kern w:val="0"/>
      <w:sz w:val="18"/>
      <w:lang w:val="en-GB" w:eastAsia="en-GB"/>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57"/>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7">
    <w:name w:val="B2 Char"/>
    <w:link w:val="108"/>
    <w:qFormat/>
    <w:uiPriority w:val="0"/>
    <w:rPr>
      <w:rFonts w:eastAsia="MS Mincho"/>
      <w:lang w:val="en-GB" w:eastAsia="ja-JP"/>
    </w:rPr>
  </w:style>
  <w:style w:type="paragraph" w:customStyle="1" w:styleId="108">
    <w:name w:val="B2"/>
    <w:basedOn w:val="12"/>
    <w:link w:val="107"/>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57"/>
    <w:qFormat/>
    <w:uiPriority w:val="0"/>
    <w:rPr>
      <w:b/>
      <w:bCs/>
      <w:kern w:val="44"/>
      <w:sz w:val="44"/>
      <w:szCs w:val="44"/>
    </w:rPr>
  </w:style>
  <w:style w:type="character" w:customStyle="1" w:styleId="112">
    <w:name w:val="Doc-title Char Char"/>
    <w:basedOn w:val="57"/>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Footer Char"/>
    <w:link w:val="38"/>
    <w:qFormat/>
    <w:uiPriority w:val="99"/>
    <w:rPr>
      <w:kern w:val="2"/>
      <w:sz w:val="18"/>
      <w:szCs w:val="18"/>
    </w:rPr>
  </w:style>
  <w:style w:type="character" w:customStyle="1" w:styleId="115">
    <w:name w:val="Placeholder Text1"/>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Plain Text Char"/>
    <w:basedOn w:val="57"/>
    <w:link w:val="32"/>
    <w:qFormat/>
    <w:uiPriority w:val="99"/>
    <w:rPr>
      <w:rFonts w:ascii="Consolas" w:hAnsi="Consolas" w:eastAsia="Calibri"/>
      <w:sz w:val="21"/>
      <w:szCs w:val="21"/>
      <w:lang w:eastAsia="en-US"/>
    </w:rPr>
  </w:style>
  <w:style w:type="character" w:customStyle="1" w:styleId="119">
    <w:name w:val="首示例 Char Char"/>
    <w:basedOn w:val="57"/>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57"/>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1"/>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Body Text Char"/>
    <w:basedOn w:val="57"/>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1">
    <w:name w:val="Header Char"/>
    <w:link w:val="39"/>
    <w:qFormat/>
    <w:uiPriority w:val="99"/>
    <w:rPr>
      <w:kern w:val="2"/>
      <w:sz w:val="18"/>
      <w:szCs w:val="18"/>
    </w:rPr>
  </w:style>
  <w:style w:type="character" w:customStyle="1" w:styleId="132">
    <w:name w:val="Doc-text2 Char Char"/>
    <w:basedOn w:val="57"/>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Footnote Text Char"/>
    <w:basedOn w:val="57"/>
    <w:link w:val="45"/>
    <w:qFormat/>
    <w:uiPriority w:val="0"/>
    <w:rPr>
      <w:rFonts w:ascii="宋体"/>
      <w:kern w:val="2"/>
      <w:sz w:val="18"/>
      <w:szCs w:val="18"/>
    </w:rPr>
  </w:style>
  <w:style w:type="paragraph" w:customStyle="1" w:styleId="152">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7"/>
    <w:semiHidden/>
    <w:qFormat/>
    <w:uiPriority w:val="0"/>
    <w:rPr>
      <w:rFonts w:ascii="宋体" w:hAnsi="Courier New" w:cs="Courier New"/>
      <w:kern w:val="2"/>
      <w:sz w:val="21"/>
      <w:szCs w:val="21"/>
    </w:rPr>
  </w:style>
  <w:style w:type="paragraph" w:customStyle="1" w:styleId="164">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8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4"/>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Comment Text Char"/>
    <w:basedOn w:val="57"/>
    <w:link w:val="1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7"/>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5"/>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8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Endnote Text Char"/>
    <w:basedOn w:val="57"/>
    <w:link w:val="36"/>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6"/>
    <w:qFormat/>
    <w:uiPriority w:val="0"/>
    <w:pPr>
      <w:jc w:val="center"/>
    </w:pPr>
    <w:rPr>
      <w:szCs w:val="20"/>
      <w:lang w:eastAsia="en-US"/>
    </w:rPr>
  </w:style>
  <w:style w:type="paragraph" w:customStyle="1" w:styleId="203">
    <w:name w:val="示例后文字"/>
    <w:basedOn w:val="44"/>
    <w:next w:val="44"/>
    <w:qFormat/>
    <w:uiPriority w:val="0"/>
    <w:pPr>
      <w:ind w:firstLine="360"/>
    </w:pPr>
    <w:rPr>
      <w:sz w:val="18"/>
    </w:rPr>
  </w:style>
  <w:style w:type="paragraph" w:customStyle="1" w:styleId="204">
    <w:name w:val="图标脚注说明"/>
    <w:basedOn w:val="44"/>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EmailDiscussion2"/>
    <w:basedOn w:val="84"/>
    <w:qFormat/>
    <w:uiPriority w:val="0"/>
  </w:style>
  <w:style w:type="paragraph" w:customStyle="1" w:styleId="217">
    <w:name w:val="B5"/>
    <w:basedOn w:val="47"/>
    <w:qFormat/>
    <w:uiPriority w:val="0"/>
  </w:style>
  <w:style w:type="paragraph" w:customStyle="1" w:styleId="218">
    <w:name w:val="其他发布日期"/>
    <w:basedOn w:val="167"/>
    <w:qFormat/>
    <w:uiPriority w:val="0"/>
  </w:style>
  <w:style w:type="paragraph" w:customStyle="1" w:styleId="219">
    <w:name w:val="B4"/>
    <w:basedOn w:val="48"/>
    <w:link w:val="276"/>
    <w:qFormat/>
    <w:uiPriority w:val="0"/>
  </w:style>
  <w:style w:type="paragraph" w:customStyle="1" w:styleId="220">
    <w:name w:val="NO"/>
    <w:basedOn w:val="1"/>
    <w:link w:val="279"/>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1">
    <w:name w:val="Review-comment2"/>
    <w:basedOn w:val="161"/>
    <w:qFormat/>
    <w:uiPriority w:val="0"/>
    <w:rPr>
      <w:color w:val="0070C0"/>
    </w:rPr>
  </w:style>
  <w:style w:type="paragraph" w:customStyle="1" w:styleId="222">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3">
    <w:name w:val="附录表标号"/>
    <w:basedOn w:val="1"/>
    <w:next w:val="44"/>
    <w:qFormat/>
    <w:uiPriority w:val="0"/>
    <w:pPr>
      <w:spacing w:line="14" w:lineRule="exact"/>
      <w:ind w:left="811" w:hanging="448"/>
      <w:jc w:val="center"/>
      <w:outlineLvl w:val="0"/>
    </w:pPr>
    <w:rPr>
      <w:color w:val="FFFFFF"/>
    </w:rPr>
  </w:style>
  <w:style w:type="paragraph" w:customStyle="1" w:styleId="224">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5">
    <w:name w:val="附录标题"/>
    <w:basedOn w:val="44"/>
    <w:next w:val="44"/>
    <w:qFormat/>
    <w:uiPriority w:val="0"/>
    <w:pPr>
      <w:ind w:firstLine="0" w:firstLineChars="0"/>
      <w:jc w:val="center"/>
    </w:pPr>
    <w:rPr>
      <w:rFonts w:ascii="黑体" w:eastAsia="黑体"/>
    </w:rPr>
  </w:style>
  <w:style w:type="paragraph" w:customStyle="1" w:styleId="226">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7">
    <w:name w:val="标准书眉_偶数页"/>
    <w:basedOn w:val="141"/>
    <w:next w:val="1"/>
    <w:qFormat/>
    <w:uiPriority w:val="0"/>
    <w:pPr>
      <w:jc w:val="left"/>
    </w:pPr>
  </w:style>
  <w:style w:type="paragraph" w:customStyle="1" w:styleId="228">
    <w:name w:val="附录三级无"/>
    <w:basedOn w:val="158"/>
    <w:qFormat/>
    <w:uiPriority w:val="0"/>
    <w:pPr>
      <w:tabs>
        <w:tab w:val="clear" w:pos="360"/>
      </w:tabs>
      <w:spacing w:beforeLines="0" w:afterLines="0"/>
    </w:pPr>
    <w:rPr>
      <w:rFonts w:ascii="宋体" w:eastAsia="宋体"/>
      <w:szCs w:val="21"/>
    </w:rPr>
  </w:style>
  <w:style w:type="paragraph" w:customStyle="1" w:styleId="229">
    <w:name w:val="TAR"/>
    <w:basedOn w:val="106"/>
    <w:qFormat/>
    <w:uiPriority w:val="0"/>
    <w:pPr>
      <w:jc w:val="right"/>
    </w:pPr>
    <w:rPr>
      <w:szCs w:val="20"/>
      <w:lang w:eastAsia="en-US"/>
    </w:rPr>
  </w:style>
  <w:style w:type="paragraph" w:customStyle="1" w:styleId="230">
    <w:name w:val="ZV"/>
    <w:basedOn w:val="143"/>
    <w:qFormat/>
    <w:uiPriority w:val="0"/>
    <w:pPr>
      <w:framePr w:y="16161"/>
    </w:pPr>
  </w:style>
  <w:style w:type="paragraph" w:customStyle="1" w:styleId="231">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2">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3">
    <w:name w:val="NW"/>
    <w:basedOn w:val="220"/>
    <w:qFormat/>
    <w:uiPriority w:val="0"/>
    <w:pPr>
      <w:spacing w:after="0"/>
    </w:pPr>
    <w:rPr>
      <w:rFonts w:eastAsia="MS Mincho"/>
      <w:lang w:eastAsia="en-US"/>
    </w:rPr>
  </w:style>
  <w:style w:type="paragraph" w:customStyle="1" w:styleId="234">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5">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6">
    <w:name w:val="二级无"/>
    <w:basedOn w:val="145"/>
    <w:qFormat/>
    <w:uiPriority w:val="0"/>
    <w:rPr>
      <w:rFonts w:ascii="宋体" w:eastAsia="宋体"/>
    </w:rPr>
  </w:style>
  <w:style w:type="paragraph" w:customStyle="1" w:styleId="23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8">
    <w:name w:val="注：（正文）"/>
    <w:basedOn w:val="155"/>
    <w:next w:val="44"/>
    <w:qFormat/>
    <w:uiPriority w:val="0"/>
    <w:pPr>
      <w:tabs>
        <w:tab w:val="left" w:pos="840"/>
      </w:tabs>
      <w:ind w:left="839" w:hanging="419"/>
    </w:pPr>
  </w:style>
  <w:style w:type="paragraph" w:customStyle="1" w:styleId="239">
    <w:name w:val="MiniHeading"/>
    <w:basedOn w:val="100"/>
    <w:qFormat/>
    <w:uiPriority w:val="0"/>
    <w:pPr>
      <w:spacing w:before="180"/>
    </w:pPr>
    <w:rPr>
      <w:u w:val="single"/>
      <w:lang w:val="en-US" w:eastAsia="zh-CN"/>
    </w:rPr>
  </w:style>
  <w:style w:type="paragraph" w:customStyle="1" w:styleId="240">
    <w:name w:val="Editor's Note"/>
    <w:basedOn w:val="220"/>
    <w:link w:val="281"/>
    <w:qFormat/>
    <w:uiPriority w:val="0"/>
    <w:rPr>
      <w:rFonts w:eastAsia="MS Mincho"/>
      <w:color w:val="FF0000"/>
      <w:lang w:eastAsia="en-US"/>
    </w:rPr>
  </w:style>
  <w:style w:type="paragraph" w:customStyle="1" w:styleId="241">
    <w:name w:val="终结线"/>
    <w:basedOn w:val="1"/>
    <w:qFormat/>
    <w:uiPriority w:val="0"/>
  </w:style>
  <w:style w:type="paragraph" w:customStyle="1" w:styleId="242">
    <w:name w:val="五级无"/>
    <w:basedOn w:val="175"/>
    <w:qFormat/>
    <w:uiPriority w:val="0"/>
    <w:rPr>
      <w:rFonts w:ascii="宋体" w:eastAsia="宋体"/>
    </w:rPr>
  </w:style>
  <w:style w:type="paragraph" w:customStyle="1" w:styleId="243">
    <w:name w:val="正文公式编号制表符"/>
    <w:basedOn w:val="44"/>
    <w:next w:val="44"/>
    <w:qFormat/>
    <w:uiPriority w:val="0"/>
    <w:pPr>
      <w:ind w:firstLine="0" w:firstLineChars="0"/>
    </w:pPr>
  </w:style>
  <w:style w:type="paragraph" w:customStyle="1" w:styleId="244">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5">
    <w:name w:val="封面标准文稿编辑信息2"/>
    <w:basedOn w:val="246"/>
    <w:qFormat/>
    <w:uiPriority w:val="0"/>
  </w:style>
  <w:style w:type="paragraph" w:customStyle="1" w:styleId="246">
    <w:name w:val="封面标准文稿编辑信息"/>
    <w:basedOn w:val="171"/>
    <w:qFormat/>
    <w:uiPriority w:val="0"/>
    <w:pPr>
      <w:spacing w:before="180" w:line="180" w:lineRule="exact"/>
    </w:pPr>
    <w:rPr>
      <w:sz w:val="21"/>
    </w:rPr>
  </w:style>
  <w:style w:type="paragraph" w:customStyle="1" w:styleId="2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8">
    <w:name w:val="NF"/>
    <w:basedOn w:val="220"/>
    <w:qFormat/>
    <w:uiPriority w:val="0"/>
    <w:pPr>
      <w:keepNext/>
      <w:spacing w:after="0"/>
    </w:pPr>
    <w:rPr>
      <w:rFonts w:ascii="Arial" w:hAnsi="Arial" w:eastAsia="MS Mincho"/>
      <w:sz w:val="18"/>
      <w:lang w:eastAsia="en-US"/>
    </w:rPr>
  </w:style>
  <w:style w:type="paragraph" w:customStyle="1" w:styleId="249">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5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1">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2">
    <w:name w:val="封面标准名称2"/>
    <w:basedOn w:val="174"/>
    <w:qFormat/>
    <w:uiPriority w:val="0"/>
    <w:pPr>
      <w:spacing w:beforeLines="630"/>
    </w:pPr>
  </w:style>
  <w:style w:type="paragraph" w:customStyle="1" w:styleId="253">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5">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6">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7">
    <w:name w:val="ZTD"/>
    <w:basedOn w:val="135"/>
    <w:qFormat/>
    <w:uiPriority w:val="0"/>
    <w:pPr>
      <w:framePr w:hRule="auto" w:y="852"/>
    </w:pPr>
    <w:rPr>
      <w:i w:val="0"/>
      <w:sz w:val="40"/>
    </w:rPr>
  </w:style>
  <w:style w:type="paragraph" w:customStyle="1" w:styleId="258">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9">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60">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1">
    <w:name w:val="附录二级无"/>
    <w:basedOn w:val="159"/>
    <w:qFormat/>
    <w:uiPriority w:val="0"/>
    <w:pPr>
      <w:tabs>
        <w:tab w:val="clear" w:pos="360"/>
      </w:tabs>
      <w:spacing w:beforeLines="0" w:afterLines="0"/>
    </w:pPr>
    <w:rPr>
      <w:rFonts w:ascii="宋体" w:eastAsia="宋体"/>
      <w:szCs w:val="21"/>
    </w:rPr>
  </w:style>
  <w:style w:type="paragraph" w:customStyle="1" w:styleId="262">
    <w:name w:val="附录一级无"/>
    <w:basedOn w:val="148"/>
    <w:qFormat/>
    <w:uiPriority w:val="0"/>
    <w:pPr>
      <w:tabs>
        <w:tab w:val="clear" w:pos="360"/>
      </w:tabs>
      <w:spacing w:beforeLines="0" w:afterLines="0"/>
    </w:pPr>
    <w:rPr>
      <w:rFonts w:ascii="宋体" w:eastAsia="宋体"/>
      <w:szCs w:val="21"/>
    </w:rPr>
  </w:style>
  <w:style w:type="paragraph" w:customStyle="1" w:styleId="263">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4">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5">
    <w:name w:val="TAN"/>
    <w:basedOn w:val="106"/>
    <w:qFormat/>
    <w:uiPriority w:val="0"/>
    <w:pPr>
      <w:ind w:left="851" w:hanging="851"/>
    </w:pPr>
    <w:rPr>
      <w:szCs w:val="20"/>
      <w:lang w:eastAsia="en-US"/>
    </w:rPr>
  </w:style>
  <w:style w:type="paragraph" w:customStyle="1" w:styleId="266">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7">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9">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70">
    <w:name w:val="EW"/>
    <w:basedOn w:val="147"/>
    <w:qFormat/>
    <w:uiPriority w:val="0"/>
    <w:pPr>
      <w:spacing w:after="0"/>
    </w:pPr>
  </w:style>
  <w:style w:type="paragraph" w:customStyle="1" w:styleId="271">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2">
    <w:name w:val="B1 Char"/>
    <w:qFormat/>
    <w:uiPriority w:val="0"/>
    <w:rPr>
      <w:rFonts w:ascii="Arial" w:hAnsi="Arial" w:eastAsia="Times New Roman"/>
      <w:lang w:val="en-GB" w:eastAsia="en-US"/>
    </w:rPr>
  </w:style>
  <w:style w:type="paragraph" w:customStyle="1" w:styleId="273">
    <w:name w:val="Observation"/>
    <w:basedOn w:val="207"/>
    <w:qFormat/>
    <w:uiPriority w:val="0"/>
    <w:pPr>
      <w:numPr>
        <w:ilvl w:val="0"/>
        <w:numId w:val="2"/>
      </w:numPr>
      <w:ind w:left="1701" w:hanging="1701"/>
    </w:pPr>
    <w:rPr>
      <w:rFonts w:eastAsiaTheme="minorEastAsia"/>
    </w:rPr>
  </w:style>
  <w:style w:type="character" w:customStyle="1" w:styleId="274">
    <w:name w:val="List Paragraph Char"/>
    <w:link w:val="69"/>
    <w:qFormat/>
    <w:locked/>
    <w:uiPriority w:val="34"/>
    <w:rPr>
      <w:kern w:val="2"/>
      <w:sz w:val="21"/>
      <w:szCs w:val="24"/>
    </w:rPr>
  </w:style>
  <w:style w:type="character" w:customStyle="1" w:styleId="275">
    <w:name w:val="B3 Char"/>
    <w:basedOn w:val="57"/>
    <w:qFormat/>
    <w:uiPriority w:val="0"/>
    <w:rPr>
      <w:lang w:val="en-GB"/>
    </w:rPr>
  </w:style>
  <w:style w:type="character" w:customStyle="1" w:styleId="276">
    <w:name w:val="B4 Char"/>
    <w:link w:val="219"/>
    <w:qFormat/>
    <w:uiPriority w:val="0"/>
    <w:rPr>
      <w:rFonts w:eastAsia="MS Mincho"/>
      <w:lang w:val="en-GB" w:eastAsia="en-US"/>
    </w:rPr>
  </w:style>
  <w:style w:type="paragraph" w:customStyle="1" w:styleId="277">
    <w:name w:val="Guidance"/>
    <w:basedOn w:val="1"/>
    <w:link w:val="280"/>
    <w:qFormat/>
    <w:uiPriority w:val="0"/>
    <w:pPr>
      <w:widowControl/>
      <w:spacing w:after="180"/>
      <w:jc w:val="left"/>
    </w:pPr>
    <w:rPr>
      <w:i/>
      <w:color w:val="0000FF"/>
      <w:kern w:val="0"/>
      <w:sz w:val="20"/>
      <w:szCs w:val="20"/>
      <w:lang w:val="en-GB" w:eastAsia="en-US"/>
    </w:rPr>
  </w:style>
  <w:style w:type="character" w:customStyle="1" w:styleId="278">
    <w:name w:val="B1 Zchn"/>
    <w:qFormat/>
    <w:uiPriority w:val="0"/>
    <w:rPr>
      <w:lang w:eastAsia="en-US"/>
    </w:rPr>
  </w:style>
  <w:style w:type="character" w:customStyle="1" w:styleId="279">
    <w:name w:val="NO Zchn"/>
    <w:link w:val="220"/>
    <w:qFormat/>
    <w:uiPriority w:val="0"/>
    <w:rPr>
      <w:lang w:val="en-GB" w:eastAsia="ja-JP"/>
    </w:rPr>
  </w:style>
  <w:style w:type="character" w:customStyle="1" w:styleId="280">
    <w:name w:val="Guidance Char"/>
    <w:link w:val="277"/>
    <w:qFormat/>
    <w:uiPriority w:val="0"/>
    <w:rPr>
      <w:i/>
      <w:color w:val="0000FF"/>
      <w:lang w:val="en-GB" w:eastAsia="en-US"/>
    </w:rPr>
  </w:style>
  <w:style w:type="character" w:customStyle="1" w:styleId="281">
    <w:name w:val="Editor's Note Char"/>
    <w:link w:val="240"/>
    <w:qFormat/>
    <w:uiPriority w:val="0"/>
    <w:rPr>
      <w:rFonts w:eastAsia="MS Mincho"/>
      <w:color w:val="FF0000"/>
      <w:lang w:val="en-GB" w:eastAsia="en-US"/>
    </w:rPr>
  </w:style>
  <w:style w:type="paragraph" w:customStyle="1" w:styleId="282">
    <w:name w:val="列出段落1"/>
    <w:basedOn w:val="1"/>
    <w:qFormat/>
    <w:uiPriority w:val="34"/>
    <w:pPr>
      <w:spacing w:after="0"/>
      <w:ind w:firstLine="420"/>
    </w:pPr>
    <w:rPr>
      <w:rFonts w:ascii="Calibri" w:hAnsi="Calibri" w:eastAsia="宋体" w:cs="宋体"/>
      <w:szCs w:val="21"/>
    </w:rPr>
  </w:style>
  <w:style w:type="paragraph" w:styleId="28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F5F42-EF97-48A0-9E78-2222FFD6779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2160</Words>
  <Characters>12313</Characters>
  <Lines>102</Lines>
  <Paragraphs>28</Paragraphs>
  <TotalTime>1</TotalTime>
  <ScaleCrop>false</ScaleCrop>
  <LinksUpToDate>false</LinksUpToDate>
  <CharactersWithSpaces>14445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2019-05-02T21:46:00Z</dcterms:created>
  <dc:creator>10033860</dc:creator>
  <cp:lastModifiedBy>AI JIANXUN</cp:lastModifiedBy>
  <cp:lastPrinted>2113-01-01T00:00:00Z</cp:lastPrinted>
  <dcterms:modified xsi:type="dcterms:W3CDTF">2019-08-16T04:43:31Z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